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 w:rightChars="0"/>
        <w:jc w:val="left"/>
        <w:textAlignment w:val="auto"/>
        <w:outlineLvl w:val="9"/>
        <w:rPr>
          <w:rFonts w:hint="eastAsia" w:ascii="黑体" w:hAnsi="黑体" w:eastAsia="黑体" w:cs="黑体"/>
          <w:color w:val="auto"/>
          <w:spacing w:val="-6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pacing w:val="-6"/>
          <w:sz w:val="32"/>
          <w:szCs w:val="32"/>
          <w:lang w:val="en-US" w:eastAsia="zh-CN"/>
        </w:rPr>
        <w:t>附件</w:t>
      </w:r>
      <w:r>
        <w:rPr>
          <w:rFonts w:hint="eastAsia" w:ascii="黑体" w:hAnsi="黑体" w:eastAsia="黑体" w:cs="黑体"/>
          <w:color w:val="auto"/>
          <w:spacing w:val="-6"/>
          <w:sz w:val="32"/>
          <w:szCs w:val="32"/>
          <w:lang w:val="en-US" w:eastAsia="zh-CN"/>
        </w:rPr>
        <w:t>1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23"/>
        <w:jc w:val="center"/>
        <w:textAlignment w:val="auto"/>
        <w:outlineLvl w:val="9"/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val="en-US" w:eastAsia="zh-CN"/>
        </w:rPr>
      </w:pPr>
      <w:r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eastAsia="zh-CN"/>
        </w:rPr>
        <w:t>中山市</w:t>
      </w:r>
      <w:r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val="en-US" w:eastAsia="zh-CN"/>
        </w:rPr>
        <w:t>粤港澳大湾区个人所得税优惠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23"/>
        <w:jc w:val="center"/>
        <w:textAlignment w:val="auto"/>
        <w:outlineLvl w:val="9"/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eastAsia="zh-CN"/>
        </w:rPr>
      </w:pPr>
      <w:r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val="en-US" w:eastAsia="zh-CN"/>
        </w:rPr>
        <w:t>政策</w:t>
      </w:r>
      <w:r>
        <w:rPr>
          <w:rFonts w:hint="default" w:ascii="Times New Roman" w:hAnsi="Times New Roman" w:eastAsia="公文小标宋简" w:cs="Times New Roman"/>
          <w:b w:val="0"/>
          <w:bCs w:val="0"/>
          <w:color w:val="000000"/>
          <w:sz w:val="44"/>
          <w:szCs w:val="44"/>
          <w:lang w:eastAsia="zh-CN"/>
        </w:rPr>
        <w:t>境外高端人才目录</w:t>
      </w:r>
    </w:p>
    <w:p>
      <w:pPr>
        <w:pStyle w:val="5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afterLines="0" w:line="52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23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  <w:lang w:eastAsia="zh-CN"/>
        </w:rPr>
        <w:t>境外高端人才需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eastAsia="zh-CN"/>
        </w:rPr>
        <w:t>符合下列条件之一：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1.国家、省重大人才工程入选者；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2.取得广东省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人才优粤卡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、外国高端人才确认函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、广东省外籍或港澳台高层次人才确认函</w:t>
      </w:r>
      <w:r>
        <w:rPr>
          <w:rFonts w:hint="eastAsia" w:ascii="仿宋_GB2312" w:hAnsi="仿宋_GB2312" w:eastAsia="仿宋_GB2312" w:cs="仿宋_GB2312"/>
          <w:sz w:val="32"/>
          <w:szCs w:val="32"/>
        </w:rPr>
        <w:t>的人才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符合《外国人来华工作分类标准》的外国高端人才（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），其中以“平均工资收入不低于本地区上年度社会平均工资收入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”条件获得外国高端人才（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）认定的除外；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国家、省、市重大创新平台的科研团队成员，高等院校、科研机构、医院等相关机构中的科研技术团队成员；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rightChars="0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中山市第一至第六层次紧缺适用高层次人才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中山英才计划“特聘人才”。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ind w:left="0" w:leftChars="0" w:firstLine="0" w:firstLineChars="0"/>
        <w:jc w:val="both"/>
        <w:textAlignment w:val="auto"/>
        <w:rPr>
          <w:rFonts w:hint="default" w:ascii="Times New Roman" w:hAnsi="Times New Roman" w:eastAsia="公文小标宋简" w:cs="Times New Roman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公文小标宋简" w:cs="Times New Roman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公文小标宋简" w:cs="Times New Roman"/>
          <w:b w:val="0"/>
          <w:bCs w:val="0"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公文小标宋简" w:cs="Times New Roman"/>
          <w:b w:val="0"/>
          <w:bCs w:val="0"/>
          <w:color w:val="000000"/>
          <w:kern w:val="2"/>
          <w:sz w:val="44"/>
          <w:szCs w:val="44"/>
          <w:lang w:val="en-US" w:eastAsia="zh-CN" w:bidi="ar-SA"/>
        </w:rPr>
        <w:t>中山市重点发展产业</w:t>
      </w: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"/>
        </w:rPr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pacing w:val="-6"/>
          <w:sz w:val="44"/>
          <w:szCs w:val="44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我市下列领域的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生产制造企业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、科技型企业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及其生产性服务业、科技服务业的企业</w:t>
      </w:r>
      <w:r>
        <w:rPr>
          <w:rFonts w:hint="default" w:ascii="Times New Roman" w:hAnsi="Times New Roman" w:eastAsia="仿宋_GB2312" w:cs="Times New Roman"/>
          <w:sz w:val="32"/>
          <w:szCs w:val="32"/>
          <w:lang w:val="en"/>
        </w:rPr>
        <w:t>属于中山市重点发展产业范畴：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</w:rPr>
        <w:t>广东省十大战略性支柱产业、广东省十大战略性新兴产业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广东省十大战略性支柱产业包括：新一代电子信息、绿色石化、智能家电、汽车、先进材料、现代轻工纺织、软件与信息服务、超高清视频显示、生物医药与健康、现代农业与食品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广东省十大战略性新兴产业包括：半导体及集成电路、高端装备制造、智能机器人、区块链与量子信息、前沿新材料、新能源、激光与增材制造、数字创意、安全应急与环保、精密仪器设备。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Chars="0" w:firstLine="640" w:firstLineChars="200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（二）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中山市十大产业集群（新“十大舰队”）</w:t>
      </w:r>
      <w:r>
        <w:rPr>
          <w:rFonts w:hint="eastAsia" w:ascii="楷体_GB2312" w:hAnsi="楷体_GB2312" w:eastAsia="楷体_GB2312" w:cs="楷体_GB2312"/>
          <w:sz w:val="32"/>
          <w:szCs w:val="32"/>
          <w:lang w:val="en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leftChars="0"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新能源、生物医药与健康、新一代信息技术、智能家电、高端装备、光电光学、灯饰照明、中山美居、现代农业与食品、现代时尚产业。</w:t>
      </w: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Lines="0" w:after="0" w:afterLines="0" w:line="520" w:lineRule="exact"/>
        <w:textAlignment w:val="auto"/>
      </w:pPr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20" w:lineRule="exact"/>
        <w:textAlignment w:val="auto"/>
      </w:pPr>
    </w:p>
    <w:p/>
    <w:p>
      <w:pPr>
        <w:pStyle w:val="2"/>
      </w:pPr>
    </w:p>
    <w:p>
      <w:pPr>
        <w:jc w:val="center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2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pStyle w:val="3"/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黑体" w:cs="Times New Roman"/>
          <w:sz w:val="44"/>
          <w:szCs w:val="44"/>
          <w:lang w:val="en-US" w:eastAsia="zh-CN"/>
        </w:rPr>
        <w:t>2024-2026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年度中山市境外紧缺人才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需求目录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Lines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中山市粤港澳大湾区个人所得税优惠政策财政补贴项目紧缺人才，是指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在中山市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eastAsia="zh-CN"/>
        </w:rPr>
        <w:t>重点发展产业企业任职的科研人员、技术技能骨干或中高级管理人员，具备岗位相关的学历、工作经验、专业技能及技术能力。申请人为外籍人士的，应取得《外国人工作许可证》（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val="en-US" w:eastAsia="zh-CN"/>
        </w:rPr>
        <w:t>B类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u w:val="none"/>
          <w:lang w:eastAsia="zh-CN"/>
        </w:rPr>
        <w:t>）。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"/>
        </w:rPr>
      </w:pP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1.超高清视频显示产业</w:t>
      </w:r>
    </w:p>
    <w:tbl>
      <w:tblPr>
        <w:tblStyle w:val="7"/>
        <w:tblW w:w="739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545"/>
        <w:gridCol w:w="1427"/>
        <w:gridCol w:w="1227"/>
        <w:gridCol w:w="24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4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电子工程师</w:t>
            </w:r>
          </w:p>
        </w:tc>
        <w:tc>
          <w:tcPr>
            <w:tcW w:w="14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通信技术工程师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功能测试工程师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电子维修工程师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设备维修保养工程师</w:t>
            </w:r>
          </w:p>
        </w:tc>
        <w:tc>
          <w:tcPr>
            <w:tcW w:w="1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both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</w:t>
      </w:r>
      <w:r>
        <w:rPr>
          <w:rStyle w:val="10"/>
          <w:lang w:val="en-US" w:eastAsia="zh-CN" w:bidi="ar"/>
        </w:rPr>
        <w:t>生物医药与健康产业</w:t>
      </w:r>
    </w:p>
    <w:tbl>
      <w:tblPr>
        <w:tblStyle w:val="7"/>
        <w:tblW w:w="74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2"/>
        <w:gridCol w:w="1534"/>
        <w:gridCol w:w="1453"/>
        <w:gridCol w:w="1227"/>
        <w:gridCol w:w="2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生物学研究人员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执业药师</w:t>
            </w:r>
            <w:r>
              <w:rPr>
                <w:rStyle w:val="11"/>
                <w:rFonts w:eastAsia="宋体"/>
                <w:lang w:val="en-US" w:eastAsia="zh-CN" w:bidi="ar"/>
              </w:rPr>
              <w:t>/</w:t>
            </w:r>
            <w:r>
              <w:rPr>
                <w:rStyle w:val="12"/>
                <w:lang w:val="en-US" w:eastAsia="zh-CN" w:bidi="ar"/>
              </w:rPr>
              <w:t>驻店药师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康复治疗师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营养师</w:t>
            </w:r>
            <w:r>
              <w:rPr>
                <w:rStyle w:val="11"/>
                <w:rFonts w:eastAsia="宋体"/>
                <w:lang w:val="en-US" w:eastAsia="zh-CN" w:bidi="ar"/>
              </w:rPr>
              <w:t>/</w:t>
            </w:r>
            <w:r>
              <w:rPr>
                <w:rStyle w:val="12"/>
                <w:lang w:val="en-US" w:eastAsia="zh-CN" w:bidi="ar"/>
              </w:rPr>
              <w:t>健康管理师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营销销售类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3.</w:t>
      </w:r>
      <w:r>
        <w:rPr>
          <w:rStyle w:val="13"/>
          <w:lang w:val="en-US" w:eastAsia="zh-CN" w:bidi="ar"/>
        </w:rPr>
        <w:t>新一代信息技术产业</w:t>
      </w:r>
    </w:p>
    <w:tbl>
      <w:tblPr>
        <w:tblStyle w:val="7"/>
        <w:tblW w:w="74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605"/>
        <w:gridCol w:w="1454"/>
        <w:gridCol w:w="1213"/>
        <w:gridCol w:w="2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嵌入式软件工程师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通信技术工程师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C#工程师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单片机工程师</w:t>
            </w:r>
          </w:p>
        </w:tc>
        <w:tc>
          <w:tcPr>
            <w:tcW w:w="1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tbl>
      <w:tblPr>
        <w:tblStyle w:val="7"/>
        <w:tblW w:w="7931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6"/>
        <w:gridCol w:w="1580"/>
        <w:gridCol w:w="1453"/>
        <w:gridCol w:w="1214"/>
        <w:gridCol w:w="2506"/>
        <w:gridCol w:w="52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9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auto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新能源产业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光伏系统工程师</w:t>
            </w:r>
          </w:p>
        </w:tc>
        <w:tc>
          <w:tcPr>
            <w:tcW w:w="14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机械结构工程师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售前技术支持工程师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运维工程师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22" w:type="dxa"/>
          <w:trHeight w:val="700" w:hRule="atLeast"/>
        </w:trPr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电子维修技术员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2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5.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智能机器人产业</w:t>
      </w:r>
    </w:p>
    <w:tbl>
      <w:tblPr>
        <w:tblStyle w:val="7"/>
        <w:tblW w:w="740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578"/>
        <w:gridCol w:w="1467"/>
        <w:gridCol w:w="1186"/>
        <w:gridCol w:w="2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机械工程师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机电工程师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夹具工程师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焊接工程师</w:t>
            </w:r>
          </w:p>
        </w:tc>
        <w:tc>
          <w:tcPr>
            <w:tcW w:w="1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6.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现代轻工纺织产业</w:t>
      </w:r>
    </w:p>
    <w:tbl>
      <w:tblPr>
        <w:tblStyle w:val="7"/>
        <w:tblW w:w="742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9"/>
        <w:gridCol w:w="1587"/>
        <w:gridCol w:w="1480"/>
        <w:gridCol w:w="1173"/>
        <w:gridCol w:w="2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运维工程师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服装/纺织设 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模具工程师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生产计划/物料管理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CNC数控操机/编程员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面料辅料开发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打样/制版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7.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半导体与集成电路产业</w:t>
      </w:r>
    </w:p>
    <w:tbl>
      <w:tblPr>
        <w:tblStyle w:val="7"/>
        <w:tblW w:w="740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1585"/>
        <w:gridCol w:w="1480"/>
        <w:gridCol w:w="1187"/>
        <w:gridCol w:w="25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设备维修保养工程师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单片机工程师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硬件工程师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FAE工程师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电源工程师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测试工程师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8.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汽车产业</w:t>
      </w:r>
    </w:p>
    <w:tbl>
      <w:tblPr>
        <w:tblStyle w:val="7"/>
        <w:tblW w:w="742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579"/>
        <w:gridCol w:w="1507"/>
        <w:gridCol w:w="1160"/>
        <w:gridCol w:w="2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汽车质量工程师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汽车零部件设计工程师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设备维修保养工程师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生产制造类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电机工程师</w:t>
            </w:r>
          </w:p>
        </w:tc>
        <w:tc>
          <w:tcPr>
            <w:tcW w:w="1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9.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家用电器产业</w:t>
      </w:r>
    </w:p>
    <w:tbl>
      <w:tblPr>
        <w:tblStyle w:val="7"/>
        <w:tblW w:w="744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579"/>
        <w:gridCol w:w="1520"/>
        <w:gridCol w:w="1160"/>
        <w:gridCol w:w="253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机械结构工程师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电子工程师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工艺工程师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嵌入式软件工程师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pStyle w:val="3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10.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软件与信息服务产业</w:t>
      </w:r>
    </w:p>
    <w:tbl>
      <w:tblPr>
        <w:tblStyle w:val="7"/>
        <w:tblW w:w="744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3"/>
        <w:gridCol w:w="1580"/>
        <w:gridCol w:w="1546"/>
        <w:gridCol w:w="1160"/>
        <w:gridCol w:w="2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Java工程师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C#工程师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UI设计师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PHP工程师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实施工程师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NET工程师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3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3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11.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安全应急与环保产业</w:t>
      </w:r>
    </w:p>
    <w:tbl>
      <w:tblPr>
        <w:tblStyle w:val="7"/>
        <w:tblW w:w="743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579"/>
        <w:gridCol w:w="1547"/>
        <w:gridCol w:w="1146"/>
        <w:gridCol w:w="25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环保工程师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电气工程师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化工工程师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实施工程师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环评工程师</w:t>
            </w:r>
          </w:p>
        </w:tc>
        <w:tc>
          <w:tcPr>
            <w:tcW w:w="1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Arial" w:hAnsi="Arial" w:eastAsia="宋体" w:cs="Arial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12.</w:t>
      </w: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精密仪器设备产业</w:t>
      </w:r>
    </w:p>
    <w:tbl>
      <w:tblPr>
        <w:tblStyle w:val="7"/>
        <w:tblW w:w="7463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592"/>
        <w:gridCol w:w="1520"/>
        <w:gridCol w:w="1160"/>
        <w:gridCol w:w="2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岗位分类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最低学历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9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机械结构工程师</w:t>
            </w:r>
          </w:p>
        </w:tc>
        <w:tc>
          <w:tcPr>
            <w:tcW w:w="1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机械制图师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自动化工程师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电气工程师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质量管理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测试工程师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财务分析师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售后技术支持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专业技术类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</w:t>
            </w:r>
          </w:p>
        </w:tc>
        <w:tc>
          <w:tcPr>
            <w:tcW w:w="2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  <w:r>
              <w:rPr>
                <w:rFonts w:hint="eastAsia" w:ascii="Arial" w:hAnsi="Arial" w:eastAsia="宋体" w:cs="Arial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以上相关工作经验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公文小标宋简">
    <w:panose1 w:val="02010609010101010101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554CB4"/>
    <w:rsid w:val="0ADE3D74"/>
    <w:rsid w:val="25006A51"/>
    <w:rsid w:val="2D8F6884"/>
    <w:rsid w:val="30331FEC"/>
    <w:rsid w:val="3EAB0813"/>
    <w:rsid w:val="3EFE5E81"/>
    <w:rsid w:val="441647C1"/>
    <w:rsid w:val="4DC45E96"/>
    <w:rsid w:val="52D92007"/>
    <w:rsid w:val="57EE73DF"/>
    <w:rsid w:val="5DF5154B"/>
    <w:rsid w:val="5FF71E98"/>
    <w:rsid w:val="65F606B8"/>
    <w:rsid w:val="76F85DA7"/>
    <w:rsid w:val="77FF22D8"/>
    <w:rsid w:val="7A3FF39A"/>
    <w:rsid w:val="7D36C8D6"/>
    <w:rsid w:val="7F7AAB73"/>
    <w:rsid w:val="BC5D6227"/>
    <w:rsid w:val="D7560BFC"/>
    <w:rsid w:val="E2FA6379"/>
    <w:rsid w:val="E6F65B50"/>
    <w:rsid w:val="FBBF7819"/>
    <w:rsid w:val="FBFCBE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50" w:beforeLines="50" w:beforeAutospacing="0" w:after="50" w:afterLines="50" w:afterAutospacing="0" w:line="574" w:lineRule="exact"/>
      <w:ind w:firstLine="880" w:firstLineChars="200"/>
      <w:jc w:val="left"/>
      <w:outlineLvl w:val="1"/>
    </w:pPr>
    <w:rPr>
      <w:rFonts w:ascii="Arial" w:hAnsi="Arial" w:eastAsia="黑体" w:cs="Times New Roman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"/>
    <w:basedOn w:val="1"/>
    <w:qFormat/>
    <w:uiPriority w:val="0"/>
    <w:pPr>
      <w:spacing w:after="120" w:afterLines="0" w:afterAutospacing="0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黑体"/>
      <w:color w:val="000000"/>
      <w:sz w:val="24"/>
      <w:szCs w:val="24"/>
      <w:lang w:val="en-US" w:eastAsia="zh-CN" w:bidi="ar-SA"/>
    </w:rPr>
  </w:style>
  <w:style w:type="character" w:customStyle="1" w:styleId="10">
    <w:name w:val="font41"/>
    <w:basedOn w:val="8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  <w:style w:type="character" w:customStyle="1" w:styleId="11">
    <w:name w:val="font21"/>
    <w:basedOn w:val="8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2">
    <w:name w:val="font01"/>
    <w:basedOn w:val="8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31"/>
    <w:basedOn w:val="8"/>
    <w:qFormat/>
    <w:uiPriority w:val="0"/>
    <w:rPr>
      <w:rFonts w:hint="eastAsia" w:ascii="宋体" w:hAnsi="宋体" w:eastAsia="宋体" w:cs="宋体"/>
      <w:b/>
      <w:bCs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266</Words>
  <Characters>271</Characters>
  <Lines>0</Lines>
  <Paragraphs>0</Paragraphs>
  <TotalTime>5</TotalTime>
  <ScaleCrop>false</ScaleCrop>
  <LinksUpToDate>false</LinksUpToDate>
  <CharactersWithSpaces>271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2014-11-01T20:08:00Z</dcterms:created>
  <dc:creator>Administrator</dc:creator>
  <cp:lastModifiedBy>邓丽燕</cp:lastModifiedBy>
  <cp:lastPrinted>2025-12-30T03:00:06Z</cp:lastPrinted>
  <dcterms:modified xsi:type="dcterms:W3CDTF">2025-12-30T03:04:17Z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KSOTemplateDocerSaveRecord">
    <vt:lpwstr>eyJoZGlkIjoiMWRiZjBjOWVhM2JkYmQwZDk4ZGUzNzVhMWY4ZTZjMDQifQ==</vt:lpwstr>
  </property>
  <property fmtid="{D5CDD505-2E9C-101B-9397-08002B2CF9AE}" pid="4" name="ICV">
    <vt:lpwstr>5B3E9310BD604BB491BE36A6BC3F1875</vt:lpwstr>
  </property>
</Properties>
</file>