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28AD8">
      <w:pPr>
        <w:keepNext w:val="0"/>
        <w:keepLines w:val="0"/>
        <w:pageBreakBefore w:val="0"/>
        <w:widowControl w:val="0"/>
        <w:kinsoku/>
        <w:wordWrap/>
        <w:overflowPunct/>
        <w:topLinePunct w:val="0"/>
        <w:autoSpaceDE/>
        <w:autoSpaceDN/>
        <w:bidi w:val="0"/>
        <w:adjustRightInd/>
        <w:snapToGrid/>
        <w:spacing w:after="0" w:line="574" w:lineRule="exact"/>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58B665E0">
      <w:pPr>
        <w:keepNext w:val="0"/>
        <w:keepLines w:val="0"/>
        <w:pageBreakBefore w:val="0"/>
        <w:widowControl w:val="0"/>
        <w:kinsoku/>
        <w:wordWrap/>
        <w:overflowPunct/>
        <w:topLinePunct w:val="0"/>
        <w:autoSpaceDE/>
        <w:autoSpaceDN/>
        <w:bidi w:val="0"/>
        <w:adjustRightInd/>
        <w:snapToGrid/>
        <w:spacing w:after="0" w:line="574" w:lineRule="exact"/>
        <w:jc w:val="both"/>
        <w:textAlignment w:val="auto"/>
        <w:rPr>
          <w:rFonts w:hint="default" w:ascii="仿宋_GB2312" w:hAnsi="仿宋_GB2312" w:eastAsia="仿宋_GB2312" w:cs="仿宋_GB2312"/>
          <w:spacing w:val="-6"/>
          <w:sz w:val="32"/>
          <w:szCs w:val="32"/>
          <w:lang w:val="en-US" w:eastAsia="zh-CN"/>
        </w:rPr>
      </w:pPr>
    </w:p>
    <w:p w14:paraId="7888286C">
      <w:pPr>
        <w:keepNext w:val="0"/>
        <w:keepLines w:val="0"/>
        <w:pageBreakBefore w:val="0"/>
        <w:widowControl w:val="0"/>
        <w:kinsoku/>
        <w:wordWrap/>
        <w:overflowPunct/>
        <w:topLinePunct w:val="0"/>
        <w:autoSpaceDE/>
        <w:autoSpaceDN/>
        <w:bidi w:val="0"/>
        <w:adjustRightInd/>
        <w:snapToGrid/>
        <w:spacing w:after="0" w:line="574" w:lineRule="exact"/>
        <w:jc w:val="center"/>
        <w:textAlignment w:val="auto"/>
        <w:rPr>
          <w:rFonts w:hint="eastAsia" w:ascii="黑体" w:hAnsi="黑体" w:eastAsia="黑体" w:cs="黑体"/>
          <w:spacing w:val="-6"/>
          <w:sz w:val="44"/>
          <w:szCs w:val="44"/>
          <w:lang w:eastAsia="zh-CN"/>
        </w:rPr>
      </w:pPr>
      <w:r>
        <w:rPr>
          <w:rFonts w:hint="eastAsia" w:ascii="黑体" w:hAnsi="黑体" w:eastAsia="黑体" w:cs="黑体"/>
          <w:spacing w:val="-6"/>
          <w:sz w:val="44"/>
          <w:szCs w:val="44"/>
          <w:lang w:eastAsia="zh-CN"/>
        </w:rPr>
        <w:t>中山复旦联合创新中心科技成果对接会</w:t>
      </w:r>
    </w:p>
    <w:p w14:paraId="496757DA">
      <w:pPr>
        <w:keepNext w:val="0"/>
        <w:keepLines w:val="0"/>
        <w:pageBreakBefore w:val="0"/>
        <w:widowControl w:val="0"/>
        <w:kinsoku/>
        <w:wordWrap/>
        <w:overflowPunct/>
        <w:topLinePunct w:val="0"/>
        <w:autoSpaceDE/>
        <w:autoSpaceDN/>
        <w:bidi w:val="0"/>
        <w:adjustRightInd/>
        <w:snapToGrid/>
        <w:spacing w:after="0" w:line="574" w:lineRule="exact"/>
        <w:jc w:val="center"/>
        <w:textAlignment w:val="auto"/>
        <w:rPr>
          <w:rFonts w:hint="eastAsia" w:ascii="黑体" w:hAnsi="黑体" w:eastAsia="黑体" w:cs="黑体"/>
          <w:spacing w:val="-6"/>
          <w:sz w:val="44"/>
          <w:szCs w:val="44"/>
          <w:lang w:eastAsia="zh-CN"/>
        </w:rPr>
      </w:pPr>
      <w:r>
        <w:rPr>
          <w:rFonts w:hint="eastAsia" w:ascii="黑体" w:hAnsi="黑体" w:eastAsia="黑体" w:cs="黑体"/>
          <w:spacing w:val="-6"/>
          <w:sz w:val="44"/>
          <w:szCs w:val="44"/>
          <w:lang w:eastAsia="zh-CN"/>
        </w:rPr>
        <w:t>项目简介</w:t>
      </w:r>
    </w:p>
    <w:p w14:paraId="6F03CE61">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仿宋_GB2312" w:hAnsi="仿宋_GB2312" w:eastAsia="仿宋_GB2312" w:cs="仿宋_GB2312"/>
          <w:spacing w:val="-6"/>
          <w:sz w:val="32"/>
          <w:szCs w:val="32"/>
          <w:lang w:eastAsia="zh-CN"/>
        </w:rPr>
      </w:pPr>
      <w:bookmarkStart w:id="3" w:name="_GoBack"/>
      <w:bookmarkEnd w:id="3"/>
    </w:p>
    <w:p w14:paraId="04E31971">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一、无掩膜亚微米并行直写设备</w:t>
      </w:r>
    </w:p>
    <w:p w14:paraId="43C332CD">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谢景明 复旦大学</w:t>
      </w:r>
    </w:p>
    <w:p w14:paraId="6CF935B4">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本项目研发的micro-LED阵列无掩膜光刻系统采用国产硅基GaN365 nm 外延片与阵列光源，最小光斑达600 nm，可通过像素拼合及曝光计量控制，可实现0.3–20 µm线宽，实现全幅一次曝光，单幅视场覆300</w:t>
      </w:r>
      <w:r>
        <w:rPr>
          <w:rFonts w:hint="default" w:ascii="Times New Roman" w:hAnsi="Times New Roman" w:eastAsia="仿宋_GB2312" w:cs="Times New Roman"/>
          <w:spacing w:val="-6"/>
          <w:sz w:val="32"/>
          <w:szCs w:val="32"/>
          <w:lang w:eastAsia="zh-CN"/>
        </w:rPr>
        <w:t>μ</w:t>
      </w:r>
      <w:r>
        <w:rPr>
          <w:rFonts w:hint="eastAsia" w:ascii="Times New Roman" w:hAnsi="Times New Roman" w:eastAsia="仿宋_GB2312" w:cs="仿宋_GB2312"/>
          <w:spacing w:val="-6"/>
          <w:sz w:val="32"/>
          <w:szCs w:val="32"/>
          <w:lang w:eastAsia="zh-CN"/>
        </w:rPr>
        <w:t>m-3000</w:t>
      </w:r>
      <w:r>
        <w:rPr>
          <w:rFonts w:hint="default" w:ascii="Times New Roman" w:hAnsi="Times New Roman" w:eastAsia="仿宋_GB2312" w:cs="Times New Roman"/>
          <w:spacing w:val="-6"/>
          <w:sz w:val="32"/>
          <w:szCs w:val="32"/>
          <w:lang w:eastAsia="zh-CN"/>
        </w:rPr>
        <w:t>μ</w:t>
      </w:r>
      <w:r>
        <w:rPr>
          <w:rFonts w:hint="eastAsia" w:ascii="Times New Roman" w:hAnsi="Times New Roman" w:eastAsia="仿宋_GB2312" w:cs="仿宋_GB2312"/>
          <w:spacing w:val="-6"/>
          <w:sz w:val="32"/>
          <w:szCs w:val="32"/>
          <w:lang w:eastAsia="zh-CN"/>
        </w:rPr>
        <w:t>m。Optica、Nature等研究证实，micro-LED光源可在数秒内完成光刻胶完全显影所需的曝光剂量，满足科研和中试节拍。整机功耗约80 W，相比典型2 kW i-line汞灯节能约96 %，也比200 W级DMD-LED直写再降60 %，大幅降低厂房能耗与碳排。设备全国产化率可达85 %以上：GaN外延可由三安光电、Enkris等供应，阵列及小结构由课题组自主研发，以满足无掩膜光刻的特殊需求。驱动IC与控制板可在课题组研发设计之后，由高云提供量产支持。关键光学与运动平台均可本地制造，从根本上摆脱TI单一DMD进口依赖与出口管制风险。</w:t>
      </w:r>
    </w:p>
    <w:p w14:paraId="135EF8CC">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市场侧，2027年全球禁汞政策将迫使传统汞灯掩膜机退出，而中国第三代半导体及先进封装被列入“十四五”重大科技项目和长三角一体化示范工程，并获千亿级“大基金三期”及首台套保险支持，为国产替代提供资金与示范场景。本系统可快速服务高校MEMS线、Fan-ou封装厂及PCB LD升级层，预计三年内切入国内30 %的亚微米直写增量市场。</w:t>
      </w:r>
    </w:p>
    <w:p w14:paraId="2057F664">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未来规划：2025第四季度完成</w:t>
      </w:r>
      <w:r>
        <w:rPr>
          <w:rFonts w:hint="eastAsia" w:ascii="Times New Roman" w:hAnsi="Times New Roman" w:eastAsia="仿宋_GB2312" w:cs="仿宋_GB2312"/>
          <w:spacing w:val="-6"/>
          <w:sz w:val="32"/>
          <w:szCs w:val="32"/>
          <w:lang w:val="en-US" w:eastAsia="zh-CN"/>
        </w:rPr>
        <w:t xml:space="preserve"> </w:t>
      </w:r>
      <w:r>
        <w:rPr>
          <w:rFonts w:hint="default" w:ascii="Times New Roman" w:hAnsi="Times New Roman" w:eastAsia="仿宋_GB2312" w:cs="Times New Roman"/>
          <w:spacing w:val="-6"/>
          <w:sz w:val="32"/>
          <w:szCs w:val="32"/>
          <w:lang w:eastAsia="zh-CN"/>
        </w:rPr>
        <w:t>β</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仿宋_GB2312"/>
          <w:spacing w:val="-6"/>
          <w:sz w:val="32"/>
          <w:szCs w:val="32"/>
          <w:lang w:eastAsia="zh-CN"/>
        </w:rPr>
        <w:t>样机验证，分辨率推进至0.150 µm；2026 第三季度前建立年产200台的小规模产线；2028年推出275 nm深紫外版本，切入微光学与生医芯片领域，形成多波段、多尺寸的系列化产品体系。</w:t>
      </w:r>
    </w:p>
    <w:p w14:paraId="4EFEDE55">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二、应用光谱产业化技术</w:t>
      </w:r>
    </w:p>
    <w:p w14:paraId="7E99EB2B">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姚其 复旦大学</w:t>
      </w:r>
    </w:p>
    <w:p w14:paraId="5F342BB6">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团队聚焦“超越照明”的应用光谱产业化技术，整合光学、计算机、建筑学等多学科力量，构建了包含高光谱设备、多通道光谱灯箱等在内的核心硬件平台，积累了100</w:t>
      </w:r>
      <w:r>
        <w:rPr>
          <w:rFonts w:hint="eastAsia" w:ascii="仿宋_GB2312" w:hAnsi="仿宋_GB2312" w:eastAsia="仿宋_GB2312" w:cs="仿宋_GB2312"/>
          <w:spacing w:val="-6"/>
          <w:sz w:val="32"/>
          <w:szCs w:val="32"/>
          <w:lang w:eastAsia="zh-CN"/>
        </w:rPr>
        <w:t>+</w:t>
      </w:r>
      <w:r>
        <w:rPr>
          <w:rFonts w:hint="eastAsia" w:ascii="Times New Roman" w:hAnsi="Times New Roman" w:eastAsia="仿宋_GB2312" w:cs="仿宋_GB2312"/>
          <w:spacing w:val="-6"/>
          <w:sz w:val="32"/>
          <w:szCs w:val="32"/>
          <w:lang w:eastAsia="zh-CN"/>
        </w:rPr>
        <w:t xml:space="preserve">篇论文（SCI40 </w:t>
      </w:r>
      <w:r>
        <w:rPr>
          <w:rFonts w:hint="eastAsia" w:ascii="仿宋_GB2312" w:hAnsi="仿宋_GB2312" w:eastAsia="仿宋_GB2312" w:cs="仿宋_GB2312"/>
          <w:spacing w:val="-6"/>
          <w:sz w:val="32"/>
          <w:szCs w:val="32"/>
          <w:lang w:eastAsia="zh-CN"/>
        </w:rPr>
        <w:t>+</w:t>
      </w:r>
      <w:r>
        <w:rPr>
          <w:rFonts w:hint="eastAsia" w:ascii="Times New Roman" w:hAnsi="Times New Roman" w:eastAsia="仿宋_GB2312" w:cs="仿宋_GB2312"/>
          <w:spacing w:val="-6"/>
          <w:sz w:val="32"/>
          <w:szCs w:val="32"/>
          <w:lang w:eastAsia="zh-CN"/>
        </w:rPr>
        <w:t>篇）及50</w:t>
      </w:r>
      <w:r>
        <w:rPr>
          <w:rFonts w:hint="eastAsia" w:ascii="仿宋_GB2312" w:hAnsi="仿宋_GB2312" w:eastAsia="仿宋_GB2312" w:cs="仿宋_GB2312"/>
          <w:spacing w:val="-6"/>
          <w:sz w:val="32"/>
          <w:szCs w:val="32"/>
          <w:lang w:eastAsia="zh-CN"/>
        </w:rPr>
        <w:t>+</w:t>
      </w:r>
      <w:r>
        <w:rPr>
          <w:rFonts w:hint="eastAsia" w:ascii="Times New Roman" w:hAnsi="Times New Roman" w:eastAsia="仿宋_GB2312" w:cs="仿宋_GB2312"/>
          <w:spacing w:val="-6"/>
          <w:sz w:val="32"/>
          <w:szCs w:val="32"/>
          <w:lang w:eastAsia="zh-CN"/>
        </w:rPr>
        <w:t>项授权专利的知识产权成果。团队突破传统照明仅关注视觉需求的局限，深入探索光的视觉与非视觉效应，形成微空间光舒适、光医疗医美、光音协同调控等核心研究方向，建立了光环境量化评估模型与优化策略。技术已广泛应用于电子显示、汽车照明、食品安全、低空经济等领域，开发出光谱级可视化成像产品、AI阅读灯、光疗面罩等系列产品，与宝马、华为等头部企业达成合作，实现年度横向项目收入200万元以上。未来3年预计实现产值1000万元以上，将持续以多学科融合技术为壁垒，推动光健康、光医疗等新兴领域的产业化发展，助力节能减碳与健康产业升级。</w:t>
      </w:r>
    </w:p>
    <w:p w14:paraId="3633B4F7">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三</w:t>
      </w:r>
      <w:bookmarkStart w:id="0" w:name="_Hlk215860407"/>
      <w:r>
        <w:rPr>
          <w:rFonts w:hint="eastAsia" w:ascii="黑体" w:hAnsi="黑体" w:eastAsia="黑体" w:cs="黑体"/>
          <w:spacing w:val="-6"/>
          <w:sz w:val="32"/>
          <w:szCs w:val="32"/>
          <w:lang w:eastAsia="zh-CN"/>
        </w:rPr>
        <w:t>、基于micro-LED的低功耗高速光互连技术产业化</w:t>
      </w:r>
      <w:bookmarkEnd w:id="0"/>
    </w:p>
    <w:p w14:paraId="329CA528">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田朋飞 复旦大学</w:t>
      </w:r>
    </w:p>
    <w:p w14:paraId="5F25D50A">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项目团队以复旦大学十余年的技术积累为基础，致力于解决micro-LED光互连领域的“卡脖子”难题。项目预期将推出单颗带宽大于1Tbps且能效小于1pJ/bit的micro-LED光互连系统，计划申请专利10项，并与头部数据中心签订合作订单，从而打入国内高端光互连市场，预计项目落地后年营收有望超过5000万元。项目的成功实施将填补国内高性能光芯片的空白，契合国家“新基建”战略需求，有望推动数据中心能效提升30%以上，助力中国在全球下一代光电子产业中占据重要制高点。为顺利推进项目并实现上述预期目标，拟申请融资3000万元。</w:t>
      </w:r>
    </w:p>
    <w:p w14:paraId="3228E7C3">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黑体" w:hAnsi="黑体" w:eastAsia="黑体" w:cs="黑体"/>
          <w:spacing w:val="-6"/>
          <w:sz w:val="32"/>
          <w:szCs w:val="32"/>
          <w:lang w:eastAsia="zh-CN"/>
        </w:rPr>
      </w:pPr>
      <w:bookmarkStart w:id="1" w:name="OLE_LINK1"/>
      <w:r>
        <w:rPr>
          <w:rFonts w:hint="eastAsia" w:ascii="黑体" w:hAnsi="黑体" w:eastAsia="黑体" w:cs="黑体"/>
          <w:spacing w:val="-6"/>
          <w:sz w:val="32"/>
          <w:szCs w:val="32"/>
          <w:lang w:eastAsia="zh-CN"/>
        </w:rPr>
        <w:t>四、色觉缺陷诊断与色觉无障碍技术</w:t>
      </w:r>
      <w:bookmarkEnd w:id="1"/>
    </w:p>
    <w:p w14:paraId="5E2C4CC9">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戴奇 复旦大学</w:t>
      </w:r>
    </w:p>
    <w:p w14:paraId="4412297F">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色觉缺陷指人眼无法正常识别特定颜色或区分颜色差异的现象，可分为先天性（色盲、色弱）和后天性（如生理性衰老、晶状体黄化等）两大类，这给色觉缺陷人群的工作和生活带来诸多困扰。针对面对现有色觉缺陷技术理论模型准确度低、检测技术精度与成本难以平衡、增强技术改善效果差等痛点，团队开发了三大核心技术：①色觉缺陷颜色感知理论模型和算法；②色觉缺陷类型和程度检测技术；③色觉感知增强（色觉无障碍）技术。目前，团队已成功开发相关APP软件，并基于独有技术与荣耀、欧普照明等公司开展合作。近5年来，直接相关技术已申请发明专利6项，授权1项，已发表高水平SCI期刊论文3篇。未来，本项目计划通过技术服务（色觉缺陷程度检测、定制化技术开发）、软件（APP）硬件（照明设备、显示设备、智能眼镜、专业检测设备）销售等途径实现营收。此外，团队已在健康照明领域积累了丰富的产业化落地经验：近5年累计营收超1900万元，承接了4项国家级、20余项头部企业校企联合开发项目。</w:t>
      </w:r>
    </w:p>
    <w:p w14:paraId="6B141763">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黑体" w:hAnsi="黑体" w:eastAsia="黑体" w:cs="黑体"/>
          <w:spacing w:val="-6"/>
          <w:sz w:val="32"/>
          <w:szCs w:val="32"/>
          <w:lang w:eastAsia="zh-CN"/>
        </w:rPr>
      </w:pPr>
      <w:bookmarkStart w:id="2" w:name="_Hlk215860509"/>
      <w:r>
        <w:rPr>
          <w:rFonts w:hint="eastAsia" w:ascii="黑体" w:hAnsi="黑体" w:eastAsia="黑体" w:cs="黑体"/>
          <w:spacing w:val="-6"/>
          <w:sz w:val="32"/>
          <w:szCs w:val="32"/>
          <w:lang w:eastAsia="zh-CN"/>
        </w:rPr>
        <w:t>五、基于水凝胶的柔性电子仿生器件及应用研究</w:t>
      </w:r>
      <w:bookmarkEnd w:id="2"/>
    </w:p>
    <w:p w14:paraId="7DB9FEEE">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代汗青 复旦大学</w:t>
      </w:r>
    </w:p>
    <w:p w14:paraId="610F0183">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随着大数据、物联网和人工智能快速发展，人形机器人正在成为AI与物理世界的重要接口。在这一进程中，基于离子水凝胶的仿生皮肤展现出其不可或缺的重要性和广阔的应用前景。首先，离子水凝胶的仿生皮肤在增强机器人的感知能力方面起着关键作用。这种材料能够模仿人类皮肤的触觉和温度感知能力，使得机器人能够更加精确地感知外界环境，如识别不同的物体和表面纹理，感知温度变化。这种感知能力对于机器人在复杂环境中的适应性和操作精度至关重要。其次，离子水凝胶的自我修复特性显著提升了机器人的耐用性和可维护性。这意味着机器人在遭遇轻微损伤时能够自行修复，大大降低了维护成本和时间，提高了机器人的工作效率和可靠性。此外，离子水凝胶的柔软性和弹性使其在与人类互动中显得更为安全和自然。这对于需要与人密切合作或接触的机器人来说尤其重要，如在医疗、护理或家庭服务领域。最重要的是，离子水凝胶的环境友好性和生物兼容性为机器人的可持续发展提供了保障。这种材料的使用减少了对环境的负面影响，同时确保了机器人在长期与人类共存的场景中的安全性。</w:t>
      </w:r>
    </w:p>
    <w:p w14:paraId="0CC8EFFD">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课题组将重点分析离子水凝胶的多刺激响应传感和可修复的性能提升策略与仿生应用，并结合分子动力学对相关的机制进行深入分析。最后，进一步讨论多元柔性可修复传感水凝胶在仿生皮肤、多场景的可穿戴应用、无源式传感器件、解体-重构装备等智能领域的应用潜力。</w:t>
      </w:r>
    </w:p>
    <w:p w14:paraId="6AC93CDE">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仿宋_GB2312" w:hAnsi="仿宋_GB2312" w:eastAsia="仿宋_GB2312" w:cs="仿宋_GB2312"/>
          <w:spacing w:val="-6"/>
          <w:sz w:val="32"/>
          <w:szCs w:val="32"/>
          <w:lang w:eastAsia="zh-CN"/>
        </w:rPr>
      </w:pPr>
    </w:p>
    <w:p w14:paraId="40699CBA">
      <w:pPr>
        <w:keepNext w:val="0"/>
        <w:keepLines w:val="0"/>
        <w:pageBreakBefore w:val="0"/>
        <w:widowControl w:val="0"/>
        <w:kinsoku/>
        <w:wordWrap/>
        <w:overflowPunct/>
        <w:topLinePunct w:val="0"/>
        <w:autoSpaceDE/>
        <w:autoSpaceDN/>
        <w:bidi w:val="0"/>
        <w:adjustRightInd/>
        <w:snapToGrid/>
        <w:spacing w:after="0" w:line="574" w:lineRule="exact"/>
        <w:ind w:left="0" w:leftChars="0" w:firstLine="616" w:firstLineChars="200"/>
        <w:jc w:val="both"/>
        <w:textAlignment w:val="auto"/>
        <w:rPr>
          <w:rFonts w:hint="eastAsia" w:ascii="仿宋_GB2312" w:hAnsi="仿宋_GB2312" w:eastAsia="仿宋_GB2312" w:cs="仿宋_GB2312"/>
          <w:spacing w:val="-6"/>
          <w:sz w:val="32"/>
          <w:szCs w:val="32"/>
          <w:lang w:eastAsia="zh-CN"/>
        </w:rPr>
      </w:pPr>
    </w:p>
    <w:sectPr>
      <w:pgSz w:w="11906" w:h="16838"/>
      <w:pgMar w:top="2098" w:right="1587" w:bottom="2098"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方正黑体简体"/>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ED"/>
    <w:rsid w:val="000645F5"/>
    <w:rsid w:val="00071765"/>
    <w:rsid w:val="00096552"/>
    <w:rsid w:val="000C3A52"/>
    <w:rsid w:val="00196723"/>
    <w:rsid w:val="00210EFF"/>
    <w:rsid w:val="00266BB1"/>
    <w:rsid w:val="00270379"/>
    <w:rsid w:val="00287B36"/>
    <w:rsid w:val="002C14A4"/>
    <w:rsid w:val="00384BC5"/>
    <w:rsid w:val="003A6EE7"/>
    <w:rsid w:val="003C115A"/>
    <w:rsid w:val="003E0AED"/>
    <w:rsid w:val="00401944"/>
    <w:rsid w:val="00427A09"/>
    <w:rsid w:val="00472346"/>
    <w:rsid w:val="00483683"/>
    <w:rsid w:val="004B3A3A"/>
    <w:rsid w:val="00510231"/>
    <w:rsid w:val="0051350C"/>
    <w:rsid w:val="0055692C"/>
    <w:rsid w:val="005A6AA3"/>
    <w:rsid w:val="005C2A41"/>
    <w:rsid w:val="006066DF"/>
    <w:rsid w:val="006444C9"/>
    <w:rsid w:val="006757AF"/>
    <w:rsid w:val="00734DE7"/>
    <w:rsid w:val="00790C8E"/>
    <w:rsid w:val="00821805"/>
    <w:rsid w:val="00832C35"/>
    <w:rsid w:val="00861EDE"/>
    <w:rsid w:val="00890329"/>
    <w:rsid w:val="008A27E7"/>
    <w:rsid w:val="008B7B92"/>
    <w:rsid w:val="008D187C"/>
    <w:rsid w:val="008E0076"/>
    <w:rsid w:val="008E236A"/>
    <w:rsid w:val="009847C6"/>
    <w:rsid w:val="009A01D9"/>
    <w:rsid w:val="009B08D5"/>
    <w:rsid w:val="009E0826"/>
    <w:rsid w:val="009E5494"/>
    <w:rsid w:val="00A25826"/>
    <w:rsid w:val="00A45A6A"/>
    <w:rsid w:val="00A676B2"/>
    <w:rsid w:val="00AB6EAE"/>
    <w:rsid w:val="00AB70BC"/>
    <w:rsid w:val="00AC4614"/>
    <w:rsid w:val="00B23949"/>
    <w:rsid w:val="00B32FF3"/>
    <w:rsid w:val="00B424E9"/>
    <w:rsid w:val="00B56534"/>
    <w:rsid w:val="00BE6A65"/>
    <w:rsid w:val="00C00593"/>
    <w:rsid w:val="00C22C8E"/>
    <w:rsid w:val="00C37277"/>
    <w:rsid w:val="00C90890"/>
    <w:rsid w:val="00CB58EC"/>
    <w:rsid w:val="00D15D59"/>
    <w:rsid w:val="00D3392E"/>
    <w:rsid w:val="00D815D6"/>
    <w:rsid w:val="00E94A13"/>
    <w:rsid w:val="00EA01A4"/>
    <w:rsid w:val="00EB3576"/>
    <w:rsid w:val="00F065A0"/>
    <w:rsid w:val="00F663F7"/>
    <w:rsid w:val="00F73556"/>
    <w:rsid w:val="00F901A5"/>
    <w:rsid w:val="00FF6F1F"/>
    <w:rsid w:val="039A5D69"/>
    <w:rsid w:val="040D5FE7"/>
    <w:rsid w:val="0A8E43C9"/>
    <w:rsid w:val="0C053E37"/>
    <w:rsid w:val="0D176F04"/>
    <w:rsid w:val="11E812B4"/>
    <w:rsid w:val="129F1D48"/>
    <w:rsid w:val="234939F4"/>
    <w:rsid w:val="23DA1C5E"/>
    <w:rsid w:val="24401886"/>
    <w:rsid w:val="254734B9"/>
    <w:rsid w:val="280B1269"/>
    <w:rsid w:val="2811394C"/>
    <w:rsid w:val="28D6393A"/>
    <w:rsid w:val="2AD104E4"/>
    <w:rsid w:val="2EBB0312"/>
    <w:rsid w:val="2FB01D49"/>
    <w:rsid w:val="3E3F7C46"/>
    <w:rsid w:val="3F3C2C01"/>
    <w:rsid w:val="41243AF1"/>
    <w:rsid w:val="428F7D3E"/>
    <w:rsid w:val="45932935"/>
    <w:rsid w:val="53922E27"/>
    <w:rsid w:val="544F49E2"/>
    <w:rsid w:val="5B3C6463"/>
    <w:rsid w:val="5F5F6BDD"/>
    <w:rsid w:val="66624588"/>
    <w:rsid w:val="677F36EF"/>
    <w:rsid w:val="6A031585"/>
    <w:rsid w:val="6DA75477"/>
    <w:rsid w:val="75E34CDA"/>
    <w:rsid w:val="790C7EE1"/>
    <w:rsid w:val="79BC84F9"/>
    <w:rsid w:val="7BFBC149"/>
    <w:rsid w:val="7EF8357A"/>
    <w:rsid w:val="F7FE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8"/>
    <w:semiHidden/>
    <w:unhideWhenUsed/>
    <w:qFormat/>
    <w:uiPriority w:val="99"/>
    <w:pPr>
      <w:ind w:left="100" w:leftChars="2500"/>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000000" w:themeColor="text1"/>
      <w:spacing w:val="15"/>
      <w:sz w:val="28"/>
      <w:szCs w:val="28"/>
      <w14:textFill>
        <w14:solidFill>
          <w14:schemeClr w14:val="tx1"/>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000000" w:themeColor="text1"/>
      <w:spacing w:val="15"/>
      <w:sz w:val="28"/>
      <w:szCs w:val="28"/>
      <w14:textFill>
        <w14:solidFill>
          <w14:schemeClr w14:val="tx1"/>
        </w14:solidFill>
      </w14:textFill>
    </w:rPr>
  </w:style>
  <w:style w:type="paragraph" w:styleId="31">
    <w:name w:val="Quote"/>
    <w:basedOn w:val="1"/>
    <w:next w:val="1"/>
    <w:link w:val="32"/>
    <w:qFormat/>
    <w:uiPriority w:val="29"/>
    <w:pPr>
      <w:spacing w:before="160"/>
      <w:jc w:val="center"/>
    </w:pPr>
    <w:rPr>
      <w:i/>
      <w:iCs/>
      <w:color w:val="000000" w:themeColor="text1"/>
      <w14:textFill>
        <w14:solidFill>
          <w14:schemeClr w14:val="tx1"/>
        </w14:solidFill>
      </w14:textFill>
    </w:rPr>
  </w:style>
  <w:style w:type="character" w:customStyle="1" w:styleId="32">
    <w:name w:val="引用 字符"/>
    <w:basedOn w:val="18"/>
    <w:link w:val="31"/>
    <w:qFormat/>
    <w:uiPriority w:val="29"/>
    <w:rPr>
      <w:i/>
      <w:iCs/>
      <w:color w:val="000000" w:themeColor="text1"/>
      <w14:textFill>
        <w14:solidFill>
          <w14:schemeClr w14:val="tx1"/>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日期 字符"/>
    <w:basedOn w:val="18"/>
    <w:link w:val="11"/>
    <w:semiHidden/>
    <w:qFormat/>
    <w:uiPriority w:val="99"/>
  </w:style>
  <w:style w:type="character" w:customStyle="1" w:styleId="39">
    <w:name w:val="页眉 字符"/>
    <w:basedOn w:val="18"/>
    <w:link w:val="13"/>
    <w:qFormat/>
    <w:uiPriority w:val="99"/>
    <w:rPr>
      <w:rFonts w:asciiTheme="minorHAnsi" w:hAnsiTheme="minorHAnsi" w:eastAsiaTheme="minorEastAsia" w:cstheme="minorBidi"/>
      <w:kern w:val="2"/>
      <w:sz w:val="18"/>
      <w:szCs w:val="18"/>
      <w14:ligatures w14:val="standardContextual"/>
    </w:rPr>
  </w:style>
  <w:style w:type="character" w:customStyle="1" w:styleId="40">
    <w:name w:val="页脚 字符"/>
    <w:basedOn w:val="18"/>
    <w:link w:val="12"/>
    <w:qFormat/>
    <w:uiPriority w:val="99"/>
    <w:rPr>
      <w:rFonts w:asciiTheme="minorHAnsi" w:hAnsiTheme="minorHAnsi" w:eastAsiaTheme="minorEastAsia" w:cstheme="minorBidi"/>
      <w:kern w:val="2"/>
      <w:sz w:val="18"/>
      <w:szCs w:val="18"/>
      <w14:ligatures w14:val="standardContextual"/>
    </w:rPr>
  </w:style>
  <w:style w:type="character" w:customStyle="1" w:styleId="41">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319</Words>
  <Characters>365</Characters>
  <Lines>40</Lines>
  <Paragraphs>31</Paragraphs>
  <TotalTime>78</TotalTime>
  <ScaleCrop>false</ScaleCrop>
  <LinksUpToDate>false</LinksUpToDate>
  <CharactersWithSpaces>653</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2025-12-12T08:16:00Z</dcterms:created>
  <dc:creator>红 李</dc:creator>
  <cp:lastModifiedBy>user</cp:lastModifiedBy>
  <cp:lastPrinted>2025-12-16T02:44:00Z</cp:lastPrinted>
  <dcterms:modified xsi:type="dcterms:W3CDTF">2025-12-16T09:41:09Z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9BC5A29B6EA3AECCB5B840697A9BC1C5_43</vt:lpwstr>
  </property>
  <property fmtid="{D5CDD505-2E9C-101B-9397-08002B2CF9AE}" pid="4" name="KSOTemplateDocerSaveRecord">
    <vt:lpwstr>eyJoZGlkIjoiODFkMzcwN2U4M2RlZDJhNDgyNzhlMzU5NDMzZTcyODMifQ==</vt:lpwstr>
  </property>
</Properties>
</file>