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0"/>
          <w:szCs w:val="48"/>
        </w:rPr>
      </w:pPr>
      <w:r>
        <w:rPr>
          <w:rFonts w:hint="eastAsia" w:asciiTheme="majorEastAsia" w:hAnsiTheme="majorEastAsia" w:eastAsiaTheme="majorEastAsia" w:cstheme="majorEastAsia"/>
          <w:b/>
          <w:bCs/>
          <w:sz w:val="40"/>
          <w:szCs w:val="48"/>
        </w:rPr>
        <w:t>中科中山药物创新研究院</w:t>
      </w:r>
      <w:r>
        <w:rPr>
          <w:rFonts w:hint="eastAsia" w:asciiTheme="majorEastAsia" w:hAnsiTheme="majorEastAsia" w:eastAsiaTheme="majorEastAsia" w:cstheme="majorEastAsia"/>
          <w:b/>
          <w:bCs/>
          <w:sz w:val="40"/>
          <w:szCs w:val="48"/>
          <w:lang w:val="en-US" w:eastAsia="zh-CN"/>
        </w:rPr>
        <w:t>中试服务</w:t>
      </w:r>
      <w:r>
        <w:rPr>
          <w:rFonts w:hint="eastAsia" w:asciiTheme="majorEastAsia" w:hAnsiTheme="majorEastAsia" w:eastAsiaTheme="majorEastAsia" w:cstheme="majorEastAsia"/>
          <w:b/>
          <w:bCs/>
          <w:sz w:val="40"/>
          <w:szCs w:val="48"/>
        </w:rPr>
        <w:t>科研仪器设备清单</w:t>
      </w:r>
      <w:bookmarkStart w:id="0" w:name="_GoBack"/>
      <w:bookmarkEnd w:id="0"/>
    </w:p>
    <w:tbl>
      <w:tblPr>
        <w:tblStyle w:val="3"/>
        <w:tblpPr w:leftFromText="180" w:rightFromText="180" w:vertAnchor="text" w:horzAnchor="page" w:tblpX="836" w:tblpY="610"/>
        <w:tblOverlap w:val="never"/>
        <w:tblW w:w="14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825"/>
        <w:gridCol w:w="3525"/>
        <w:gridCol w:w="3458"/>
        <w:gridCol w:w="240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tcPr>
          <w:p>
            <w:pPr>
              <w:jc w:val="center"/>
              <w:rPr>
                <w:rFonts w:hint="eastAsia" w:asciiTheme="majorEastAsia" w:hAnsiTheme="majorEastAsia" w:eastAsiaTheme="majorEastAsia" w:cstheme="majorEastAsia"/>
                <w:b/>
                <w:bCs/>
                <w:sz w:val="32"/>
                <w:szCs w:val="40"/>
                <w:vertAlign w:val="baseline"/>
                <w:lang w:val="en-US" w:eastAsia="zh-CN"/>
              </w:rPr>
            </w:pPr>
            <w:r>
              <w:rPr>
                <w:rFonts w:hint="eastAsia" w:asciiTheme="majorEastAsia" w:hAnsiTheme="majorEastAsia" w:eastAsiaTheme="majorEastAsia" w:cstheme="majorEastAsia"/>
                <w:b/>
                <w:bCs/>
                <w:sz w:val="32"/>
                <w:szCs w:val="40"/>
                <w:vertAlign w:val="baseline"/>
                <w:lang w:val="en-US" w:eastAsia="zh-CN"/>
              </w:rPr>
              <w:t>序号</w:t>
            </w:r>
          </w:p>
        </w:tc>
        <w:tc>
          <w:tcPr>
            <w:tcW w:w="1825" w:type="dxa"/>
          </w:tcPr>
          <w:p>
            <w:pPr>
              <w:jc w:val="center"/>
              <w:rPr>
                <w:rFonts w:hint="default" w:asciiTheme="majorEastAsia" w:hAnsiTheme="majorEastAsia" w:eastAsiaTheme="majorEastAsia" w:cstheme="majorEastAsia"/>
                <w:b/>
                <w:bCs/>
                <w:sz w:val="32"/>
                <w:szCs w:val="40"/>
                <w:vertAlign w:val="baseline"/>
                <w:lang w:val="en-US" w:eastAsia="zh-CN"/>
              </w:rPr>
            </w:pPr>
            <w:r>
              <w:rPr>
                <w:rFonts w:hint="eastAsia" w:asciiTheme="majorEastAsia" w:hAnsiTheme="majorEastAsia" w:eastAsiaTheme="majorEastAsia" w:cstheme="majorEastAsia"/>
                <w:b/>
                <w:bCs/>
                <w:sz w:val="32"/>
                <w:szCs w:val="40"/>
                <w:vertAlign w:val="baseline"/>
                <w:lang w:val="en-US" w:eastAsia="zh-CN"/>
              </w:rPr>
              <w:t>设备名称</w:t>
            </w:r>
          </w:p>
        </w:tc>
        <w:tc>
          <w:tcPr>
            <w:tcW w:w="3525" w:type="dxa"/>
          </w:tcPr>
          <w:p>
            <w:pPr>
              <w:jc w:val="center"/>
              <w:rPr>
                <w:rFonts w:hint="eastAsia" w:asciiTheme="majorEastAsia" w:hAnsiTheme="majorEastAsia" w:eastAsiaTheme="majorEastAsia" w:cstheme="majorEastAsia"/>
                <w:b/>
                <w:bCs/>
                <w:sz w:val="32"/>
                <w:szCs w:val="40"/>
                <w:vertAlign w:val="baseline"/>
                <w:lang w:val="en-US" w:eastAsia="zh-CN"/>
              </w:rPr>
            </w:pPr>
            <w:r>
              <w:rPr>
                <w:rFonts w:hint="eastAsia" w:asciiTheme="majorEastAsia" w:hAnsiTheme="majorEastAsia" w:eastAsiaTheme="majorEastAsia" w:cstheme="majorEastAsia"/>
                <w:b/>
                <w:bCs/>
                <w:sz w:val="32"/>
                <w:szCs w:val="40"/>
                <w:vertAlign w:val="baseline"/>
                <w:lang w:val="en-US" w:eastAsia="zh-CN"/>
              </w:rPr>
              <w:t>设备介绍</w:t>
            </w:r>
          </w:p>
        </w:tc>
        <w:tc>
          <w:tcPr>
            <w:tcW w:w="3458" w:type="dxa"/>
          </w:tcPr>
          <w:p>
            <w:pPr>
              <w:jc w:val="center"/>
              <w:rPr>
                <w:rFonts w:hint="default" w:asciiTheme="majorEastAsia" w:hAnsiTheme="majorEastAsia" w:eastAsiaTheme="majorEastAsia" w:cstheme="majorEastAsia"/>
                <w:b/>
                <w:bCs/>
                <w:sz w:val="32"/>
                <w:szCs w:val="40"/>
                <w:vertAlign w:val="baseline"/>
                <w:lang w:val="en-US" w:eastAsia="zh-CN"/>
              </w:rPr>
            </w:pPr>
            <w:r>
              <w:rPr>
                <w:rFonts w:hint="eastAsia" w:asciiTheme="majorEastAsia" w:hAnsiTheme="majorEastAsia" w:eastAsiaTheme="majorEastAsia" w:cstheme="majorEastAsia"/>
                <w:b/>
                <w:bCs/>
                <w:sz w:val="32"/>
                <w:szCs w:val="40"/>
                <w:vertAlign w:val="baseline"/>
                <w:lang w:val="en-US" w:eastAsia="zh-CN"/>
              </w:rPr>
              <w:t>指标参数/型号</w:t>
            </w:r>
          </w:p>
        </w:tc>
        <w:tc>
          <w:tcPr>
            <w:tcW w:w="2409" w:type="dxa"/>
          </w:tcPr>
          <w:p>
            <w:pPr>
              <w:jc w:val="center"/>
              <w:rPr>
                <w:rFonts w:hint="default" w:asciiTheme="majorEastAsia" w:hAnsiTheme="majorEastAsia" w:eastAsiaTheme="majorEastAsia" w:cstheme="majorEastAsia"/>
                <w:b/>
                <w:bCs/>
                <w:sz w:val="32"/>
                <w:szCs w:val="40"/>
                <w:vertAlign w:val="baseline"/>
                <w:lang w:val="en-US" w:eastAsia="zh-CN"/>
              </w:rPr>
            </w:pPr>
            <w:r>
              <w:rPr>
                <w:rFonts w:hint="eastAsia" w:asciiTheme="majorEastAsia" w:hAnsiTheme="majorEastAsia" w:eastAsiaTheme="majorEastAsia" w:cstheme="majorEastAsia"/>
                <w:b/>
                <w:bCs/>
                <w:sz w:val="32"/>
                <w:szCs w:val="40"/>
                <w:vertAlign w:val="baseline"/>
                <w:lang w:val="en-US" w:eastAsia="zh-CN"/>
              </w:rPr>
              <w:t>联系人</w:t>
            </w:r>
          </w:p>
        </w:tc>
        <w:tc>
          <w:tcPr>
            <w:tcW w:w="1833" w:type="dxa"/>
          </w:tcPr>
          <w:p>
            <w:pPr>
              <w:jc w:val="center"/>
              <w:rPr>
                <w:rFonts w:hint="default" w:asciiTheme="majorEastAsia" w:hAnsiTheme="majorEastAsia" w:eastAsiaTheme="majorEastAsia" w:cstheme="majorEastAsia"/>
                <w:b/>
                <w:bCs/>
                <w:sz w:val="32"/>
                <w:szCs w:val="40"/>
                <w:vertAlign w:val="baseline"/>
                <w:lang w:val="en-US" w:eastAsia="zh-CN"/>
              </w:rPr>
            </w:pPr>
            <w:r>
              <w:rPr>
                <w:rFonts w:hint="eastAsia" w:asciiTheme="majorEastAsia" w:hAnsiTheme="majorEastAsia" w:eastAsiaTheme="majorEastAsia" w:cstheme="majorEastAsia"/>
                <w:b/>
                <w:bCs/>
                <w:sz w:val="32"/>
                <w:szCs w:val="40"/>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100kV冷冻电镜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结构生物学研究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加速电压：100kV；电子枪类型：热场发射超亮型电子枪，高亮度高相干性超亮枪X-FEG, 本征亮度≥ 7.5x107 A/m2/sr/V</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张翔</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300kV冷冻电镜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结构生物学研究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电子枪：冷场场发射电子枪（Cold-FEG），亮度：≥ 8×107 A/m2srV；加速电压：最高加速电压为300kV</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张翔</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500MHz核磁共振波谱仪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磁共振波谱分析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5mm双共振常温液体探头</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林肖同</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500MHz核磁共振波谱仪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磁共振波谱分析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5mm三共振常温液体探头</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林肖同</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600MHz核磁共振波谱仪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磁共振波谱分析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5mm 双通道常温液体探头，5mm双通道液氦超低温探头</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林肖同</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600MHz核磁共振波谱仪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磁共振波谱分析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5mm 三通道常温液体探头，5mm三通道液氦超低温探头</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林肖同</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800MHz核磁共振波谱仪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磁共振波谱分析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三共振5mm常温液体探头，三共振5mm液氦超低温液体探头</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林肖同</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高分辨率药物活体评价与筛选平台</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监控活体生物体内的生理活动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InGaAs面阵芯片，探测波长范围：900～1700 nm （NIR-II）；InGaAs探测器的像素数量：≥640×512，像元尺寸：≥20μm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核酸合成仪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用于合成DNA、RNA，以及LNA、UNA、硫代、2‘-OMe等各种修饰的寡核苷酸</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可使用标准或修饰的亚磷酰胺化学试剂一次合成 1 至 12 个标准和/或修饰的寡核苷酸</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荧光定量PCR仪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能够完成绝对定量、相对定量、基于 MGB 探针的高成功率 SNP 分析和熔解曲线分析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≥5色激发光通道和≥5色发射光通道；可以同时进行≥5重定量</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荧光定量PCR仪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能够完成绝对定量、相对定量、基于 MGB 探针的高成功率 SNP 分析和熔解曲线分析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6色发射光通道和≥6色激发光通道，单管单次反应可同时检测≥ 6种不同靶标；可自由组合，最多可检测≥21种不同的荧光光谱</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代谢物及血液蛋白分析系统（中高压蛋白纯化系统）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代谢物及血液蛋白的纯化和分析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检测波长：190-800nm,可同时检测四个波长</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全自动微滴式数字PCR系统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极微量核酸样本检测、复杂背景下稀有突变检测、表达量微小差异鉴定等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微滴生成，样品设置灵活，可以8个样品为单位进行递增，全自动可同时处理96个样品</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全景长时间活细胞动态成像及功能分析系统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在亚显微形态下同时检不同条件对细胞形态、生长、分化、迁移、凋亡、代谢途径及信号转导等方面的影响，从单一实验中获取大量相关信息，确定其生物活性和潜在毒性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荧光、明场及彩色明场成像，相差成像</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高分辨率小动物超声成像系统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利用超声波能呈现不透明物内部形象的技术，在多种疾病临床前模型中在解剖结构和功能层次进行药物疗效评估</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探头由≥256个独立晶元组成，可实现≥500帧/秒以上的小动物扫描</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生物分子相互作用分析系统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小分子药物的筛选、抗体药物的筛选、病理研究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表面等离子共振原理(SPR)，精确检测表面等离子共振角度变化</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蛋白纯化液相色谱仪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快速纯化蛋白质，适合分离纯化活性物质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流速：0.001-25ml/min(单泵)，兼容到26mm的柱子，满足实验室制备以及小试工艺摸索的要求</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快速蛋白纯化液相色谱仪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快速纯化多种生物分子，如蛋白质、多糖、肽类、寡核苷酸、核苷酸疫苗、病毒及天然小分子（TCM）等，适合分离纯化活性物质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流速：0.001-25ml/min(单泵)，兼容到26mm的柱子，满足实验室制备以及小试工艺摸索的要求</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流式细胞分析仪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激光器功率及检测器配置：488nm 功率≥50mW、638nm-642nm功率≥50mW、405nm功率≥80mW、561nm功率 30mW、375nm功率≥60mW和808nm功率≥60mW，至少可同时激发和检测21色荧光，23个荧光检测参数</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分析细胞表面标志、细胞内抗原物质 、细胞受体、肿瘤细胞的DNA、RNA含量、免疫细胞的功能</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default"/>
                <w:i w:val="0"/>
                <w:iCs w:val="0"/>
                <w:color w:val="000000"/>
                <w:lang w:val="en-US" w:eastAsia="zh-CN" w:bidi="ar"/>
              </w:rPr>
            </w:pPr>
            <w:r>
              <w:rPr>
                <w:rStyle w:val="6"/>
                <w:rFonts w:hint="eastAsia"/>
                <w:i w:val="0"/>
                <w:iCs w:val="0"/>
                <w:color w:val="000000"/>
                <w:lang w:val="en-US" w:eastAsia="zh-CN" w:bidi="ar"/>
              </w:rPr>
              <w:t>20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流式细胞分选仪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激光器功率及检测器配置：405 nm≥90mW、488 nm≥50 mW、561 nm≥30 mW、635-642 nm≥100mW；每根激光具有独立的激发点，保证4根激光可同时激发用于检测，可同时检测FSC、SSC和不少于15色荧光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免疫细胞精细分类功能研究；细胞增值、活性和凋亡研究；疾病细胞如炎症细胞、肿瘤细胞等的发生、发展和转归研究；基因表达和表达调控研究；细胞内信号传导和生物大分子间相互作用研究</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流式细胞分选仪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激光器功率及检测器配置： 405 nm≥90mW、488 nm≥50mW、635-642 nm≥100mW；每根激光具有独立的激发点，保证3根激光可同时激发用于检测，可同时检测FSC、SSC和不少于10色荧光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免疫细胞精细分类功能研究；细胞增值、活性和凋亡研究；疾病细胞如炎症细胞、肿瘤细胞等的发生、发展和转归研究；基因表达和表达调控研究；细胞内信号传导和生物大分子间相互作用研究</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谢锦欣</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质谱流式系统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可以对单个细胞同时选择几十个参数进行检测分析，实现对骨髓、外周血等复杂细胞群体的免疫表型、信号通路、细胞功能等方面进行全面、精细、深入的研究分析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通道数量：不少于135个；提供可任意叠加使用在panel中的原厂商业化标签40种以上</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谢锦欣</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高内涵成像系统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在保持细胞、类器官结构和功能完整性的前提下，同时检测被筛样品对细胞形态、生长、分化、迁移、凋亡、代谢途径及信号转导各个环节的影响，在单一实验中获取大量相关信息，确定其生物活性和潜在毒性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微透镜增强型双转盘共聚焦成像：采用双转盘共聚焦成像系统，配有对齐功能的微透镜转盘和针孔转盘，转盘转速3000 rpm同步稳定运行，并与激光光源、SCMOS相机成像协调同步</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酶标仪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在微孔板上进行光吸收、化学发光、荧光、时间分辨荧光、AlphaScreen以及荧光偏振等所有非放射性标记技术检测</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荧光四光栅配置两组截止（cut-off）滤光片，分光步进0.1nm，优化光栅带宽 &lt;8nm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中近红外扩展光谱仪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原材料、中间产物和配方制剂的定性分析和质量快速筛选；聚合物、生命材料和药物制剂产品配方的快速确定；药物及中间体的合规性测试</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测定波数范围：覆盖完整中红外范围，11,000–380cm-1</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超高效液相色谱四极杆飞行时间质谱系统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天然产物的有效成分分析，代谢产物鉴定，代谢组学分析等的超灵敏高覆盖精密测量</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配置独立电喷雾离子源(ESI)与大气压化学电离离子源(APCI)</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三重四极杆液质联用仪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天然产物的有效成分定量分析，靶向代谢组学分析等的超灵敏定量分析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标配独立的 ESI 源和 APCI 源，且非复合离子源设计，以保证ESI和APCI使用情况下都具有高灵敏度</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三重四极杆液质联用仪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目标成分定量分析，靶向代谢组学分析等的超灵敏定量分析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标配独立的 ESI 源和 APCI 源，且非复合离子源设计，以保证ESI和APCI使用情况下都具有高灵敏度</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药物代谢研究中心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29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三重四极杆液串联质谱仪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目标物的定量分析，靶向代谢组学分析等的超灵敏定量分析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标配独立的 ESI 源和 APCI 源，且非复合离子源设计，以保证ESI和APCI使用情况下都具有高灵敏度</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激光共聚焦成像系统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组织和细胞中荧光标记的分子和结构检测、荧光强度信号的定量分析、荧光漂白及恢复实验以及其他生物学应用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全部采用固体激光器，保证出光纤口的激光功率足够荧光激发，寿命≥10000小时；二极管激光器405nm：额定功率≥30mW，光纤末端入扫描头前最低功率≥14mW；二极管激光器488nm：额定功率≥30mW，光纤末端入扫描头前最低功率≥10mW；二极管激光器543nm: 额定功率≥25mW，光纤末端入扫描头前最低功率≥10mW；二极管激光器639nm：额定功率≥25mW，光纤末端入扫描头前最低功率≥7.5mW</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全自动倒置荧光显微镜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组织和细胞中明场、荧光标记的分子和结构检测、荧光强度信号的定量分析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采用无限远复消色差反差双重校正光学系统，具有轴向和径向色差校正，同时具有反差校正，提高图像衬度</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切片扫描仪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把传统玻璃切片进行扫描、无缝拼接，生成一整张全视野的数字切片，并且配合自动进样，可一次处理大量的切片，并进行明场图像的分析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一次性可装满450张玻片进行扫描，同时能够无需暂停扫描状态进行玻片的持续加载，实现大于450张玻片的高通量扫描</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多光子激光扫描显微镜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进行小型模式动物如斑马鱼、果蝇、小鼠等的活体成像；实现多染料以及CFP、GFP、YFP、DsRed、mCherry等荧光蛋白的最佳激发；实现活体或活细胞超高速成像</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红外超快脉冲激光器，波长范围680-1300nm连续可调，平均功率≥1.3W@900nm，脉冲宽度≤120fs@900nm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全自动玻片扫描系统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实现各类切片标本，至少包括HE、免疫组化、荧光、Giemsa 、PAS、六安银、Masson等多种染色方式的扫描成像，及标本的数字化管理</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全光谱范围采集，配置明场、暗场、荧光、偏光成像模式，所有成像方式需通过硬件达到，非通过软件计算达到； 以满足更多样本如神经细胞、骨骼、组织、肿瘤、胶原纤维等样本的扫描要求</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活细胞超高分辨率转盘共聚焦显微镜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对活细胞或组织样品中包括细胞骨架、细胞核结构、自噬体膜结构等亚细胞结构的实时观察，具有较低光毒性光漂白的特性，适合多通道荧光成像；系统可以同时实现宽场荧光成像、转盘式共聚焦的显微成像需求</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配备全固态连续激光器，激光器谱线允许2nm范围内偏差，但功率不得低于以下要求：405nm，功率≥100mW；488nm，功率≥150mW；561nm，功率≥100mW；640nm，功率≥100mW</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纳米超高连续光谱激光共聚焦显微镜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组织和细胞内微小结构和物质的观察，如膜蛋白与膜微结构域、膜结构细胞器内部的微小结构观察、细胞骨架结构、神经元突触研究、细菌内部的物质结构研究等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研究级智能倒置荧光显微镜：具备全电动明场、荧光、微分干涉观察功能；电动Z轴调焦，调焦行程≥12mm，重复精度≤20nm，步进精度≤3.8nm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超博切片机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扫描电镜及透射电镜样品制备，提供纳米级别的电镜观察所需生物及材料样本</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切片速度支持0.05－100mm/s可调</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超多标组织成像分析系统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应用多重免疫荧光技术，能提供更加有效的还原组织的影像，可以在单细胞层面对不同种类的细胞进行定量和空间定位分析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新型固态SSI荧光光源,，≥ 5个独立单色光源组合，激发波长 ≥ 5个，包括：379 - 401nm（Blue），功率 ≥ 85mW；458- 482nm（Green），功率 ≥ 100mW；525.5–558.5nm（Orange），功率 ≥ 100mW；617 - 645nm（Far Red），功率 ≥ 100mW；710 - 750nm（Near IR），功率 ≥ 150mW</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超高分辨率激光共聚焦显微镜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组织和细胞内微小结构和物质的观察，如膜蛋白与膜微结构域、膜结构细胞器内部的微小结构观察、细胞骨架结构、神经元突触研究、细菌内部的物质结构研究等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激光器覆盖可见光及紫外光，各激光器单独分立；独立AOTF； 配置405nm固体激光器，功率≥50mW；配置485nm-790nm连续波长脉冲激光器，自由可调，调节精度1nm，可最多同时挑选出任意8条激发谱线组合</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流式细胞仪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通过对标记在细胞上的荧光基团的检测，能够获得该荧光基团所指示的一系列细胞的物理、化学、生物特性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配置三激光同时激发12色或以上荧光，波长种类为：第一激光蓝激光(488nm）激发4色荧光，第二激光紫激光（405nm）激发5色荧光、第三激光红激光（640nm）激发3色荧光</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高通量X射线衍射仪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开展纤维的结晶度、取向度、纤维的小角散射分析；能够精确地对金属和非金属多晶样品进行物相定性定量分析结晶度分析、晶胞参数计算和固溶体分析，微观应力及晶粒大小分析、织构与应力分析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X射线光管：Cu陶瓷光管；功率 2.2 Kw；采用旋转光管，无需拆卸光管，即可实现光管本身线焦斑和点焦斑的切换</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双光源X射线单晶衍射仪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可精确、快速地测定小分子无机物、有机物、配合物以及蛋白质大分子等的固体状态的结构以及区分和确定晶体的手征性及空间结构</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X-射线光源：微聚焦光源；阳极靶材：Mo/Cu 双光源；功率：Mo光源不小于70W；Cu光源不小于55W</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王浩</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全景三维断层扫描成像系统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实现小型啮齿动物（小鼠或大鼠）活体状态下的结构成像，以及离体动物组织、生物材料等样品的无损三维检测</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探测器类型：CMOS； 闪烁晶体类型：CsI；探测器象素 ≥ 1944×1536；探测面积 ≥ 150×120 mm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单四级杆液质联用仪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药物化学、合成化学</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质量范围: 30-1250 m/z；分辨率：1.0amu；灵敏度（Performance）ESI+，1pg 利血平 柱上信噪比≥ 120：1；正、负离子采集切换速率 25 ms</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化学药物研发中心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超高效液相色谱质谱联用仪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药物化学、合成化学</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质量范围: 30-1250 m/z；分辨率：1.0amu；灵敏度（Performance）ESI+，1pg 利血平 柱上信噪比≥ 120：1；正、负离子采集切换速率 25 ms</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化合物自动化传输系统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自动化管理化合物样品，满足授权管理、 样品可追溯可监控，无需人工干预，存取样品自动化进行</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单台主机具有较大的存储容量，较高的存储密度：单台设备满足至少18万件0.5毫升样品管的存储容量</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唐璐</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X射线辐照仪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用于细胞、小动物、动物器官和组织、细菌、昆虫等各类生物样品和材料的X射线辐照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X射线球管最大电压≥225 kV； 球管最大功率≥4500W</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聚焦光束反射测量仪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药物结晶过程中颗粒尺寸分布实时监测，结晶过程中为理解成核、生长、成油、聚结和破碎等提供量化数据并实时反馈，研究药物制剂崩解过程中颗粒测定，崩解动力学研究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通过激光聚焦光束反射测量技术在特定区域内对颗粒进行直接测量，得到真实颗粒弦长数据，而非图像拍照法进行图像二次处理计算模拟颗粒尺寸</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49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在线红外光谱分析仪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药物合成反应及结晶过程中各组分浓度的实时监测，溶解、析出浓度变化，起始物料消耗，产物生成过程动力学研究，结晶过饱和度在线监控，研究药物制剂崩解过程中药物溶出测定，溶出动力学研究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主机光谱范围4000-800 cm-1；波数范围：3000～2250cm-1，2000～800cm-1</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在线拉曼光谱分析仪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合成反应及结晶过程中组分晶型定性检测，反应及结晶工艺过程中物料浓度实时监测，起始物料消耗、产物生成过程动力学研究；药物晶型研究，结晶及转晶过程中药物晶型在线监控以及转晶动力学研究，结晶工艺条件研究及参数确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光谱范围: 100-3200 cm-1；激发波长: 785nm；波数范围：100-3200 cm-1</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一体化荧光显微成像系统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通过光学图像拼接及扫描，对孔板样本进行整片拍摄，通过结合多点、自动对焦、z栈拍摄等快速得到高精细的图像。并且支持对细胞，亚细胞，微组织，模式生物及生化分子等各个层次进行实时、无对焦模糊、多通道、多靶点的荧光、相差和明场观察</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光源：全波段LED光源，功率：≥40W，波长：全光谱(UV to IR)，寿命：≥1800h，荧光减光机构：电动减光(0.3%~100%)，投射光源(LED)：功率：3~4W，相差：PhL、Ph1、Ph2偏斜照明，明场光圈: 电动(0%~100%)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超速离心机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完成各种细胞（亚细胞器）、核酸（DNA和RNA）、蛋白质、病毒、细菌、血液、细胞外囊泡、无机材料和有机材料等物质的分离、纯化和富集工作</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≥100000rpm；转速控制精度：≤±2rpm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超速离心机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完成各种细胞（亚细胞器）、核酸（DNA和RNA）、蛋白质、病毒、细菌、血液、细胞外囊泡、无机材料和有机材料等物质的分离、纯化和富集工作</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≥100,000rpm；转速控制精度≤±2rpm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神经精神疾病研究中心、药物靶标结构与功能中心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超速离心机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完成各种细胞（亚细胞器）、核酸（DNA和RNA）、蛋白质、病毒、细菌、血液、细胞外囊泡、无机材料和有机材料等物质的分离、纯化和富集工作</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≥80,000rpm；转速控制精度≤±2rpm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水平回转货柜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主要用于存放各类聚合物，测试试剂等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回转柜配备自动监控的安全光幕。具有永久自我监控功能来确保操作人员和货物的安全，安全光栅的安装位置，必须保证当料斗货物超出位置时能及时工作，防止发生事故</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唐璐</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反气相色谱分析仪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主要用于表征药物，药物辅料和药物制剂颗粒的表面特性。通过粉体颗粒的热力学特性，测定颗粒的表面能，表面酸碱特性，表面纳粗糙特性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通过IM/ RIM 指数来预测样品表面结晶和无定型特征</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眼电生理诊断系统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主要用于用于视网膜、视神经及视路等眼科疾病的诊断和评估</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多焦刺激点显示方式≥7种方式，并可按照国际标准六边形进行逐步刺激</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微型计算机断层扫描系统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通过X射线进行显微断层扫描，对实验样本进行结构及功能分析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分辨率：≥2μm；扫描时距离表面10公分处辐射剂量 &lt; 1µSv/h</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59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气相色谱质谱联用仪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复杂基质中痕量挥发性和半挥发性有机物质的定性定量分析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四极杆质量分析器：非预四极杆，石英整体镀金双曲面四极杆，独立温控, 106˚C - 200˚C,如四极杆无法加热，需额外配置一套在线GPC用于降低污染</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化学药物研发中心</w:t>
            </w:r>
          </w:p>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气相色谱三重四极杆串联质谱联用仪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气相色谱三重四极杆串联质谱联用仪，适用于中药，食品农药残留分析检测，化妆品非法添加物和违禁添加药物分析，环境中有毒有害物质等样品的定性、定量及确证分析；符合国际、国内相关标准和法规的要求</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气质接口温度: 独立控温，最高温度可到380℃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生物惰性高效液相色谱仪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复杂基质中非挥发性有机物的定性定量分析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串联式双柱塞往复泵，20-100 uL自动连续可变冲程，步进马达提供精准步程，全齿轮传动泵（非皮带传动）</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超高效液相色谱仪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复杂基质中非挥发性有机物的定性定量分析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串联式双柱塞往复泵，采用伺服控制可变冲程设计和平滑运动控制以实现主动式阻尼，20-100 uL可变冲程，高分辨步进马达驱动泵头，提供精准步进</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超高效液相色谱仪（含网络版软件）</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复杂基质中非挥发性有机物的定性定量分析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串联式双柱塞往复泵，采用伺服控制可变冲程设计和平滑运动控制以实现主动式阻尼，20-100 uL可变冲程，高分辨步进马达驱动泵头，提供精准步进</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液相色谱三重四极杆串联质谱联用仪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药物的DMPK分析，药材中痕量和超痕量农药残留的筛查和定量分析，真菌毒素的定量分析，以及蛋白质组学和代谢组学研究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 xml:space="preserve">ESI+灵敏度：液质联用柱上进样1 pg 利血平， 离子对 m/z 609-&gt;195, S/N&gt; 850,000:1 </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飞行时间液相色谱质谱联用仪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有机化学、无机化学、物理化学的化合物结构鉴定和反应机理研究；代谢组学，生物学和临床医学研究；鉴定蛋白质和蛋白质修饰，进行多肽和蛋白测序；药品开发中DMPK-代谢产物的发现和鉴定；药品开发中，产物降解和纯度的研究；中药开发中的中性产物的鉴定和分析；以及做一些金属络合物等团簇化合物的定性鉴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串联式双柱塞往复泵，采用伺服控制可变冲程设计和平滑运动控制以实现主动式阻尼，20-100 uL连续可变冲程，高分辨步进马达驱动泵头，提供精准步进</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唐璐</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自动移液工作站</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用于化合物库管理中的样品自动化前处理，实现宽移液量范围内准确而精密的移液</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移液工作站移液精确度：液体处理工作站为空气置换式移液原理，配备96通道和384通道移液头，每个通道都可以独立更换</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唐璐</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高通量全自动药物筛选工作站</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本设备主要用于药物高通量筛选，包含全自动分液，化合物库管理，整板转移复制，浓度均一化等高通量移液需求</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三机械臂系统：具有8通道移液机械臂，96通道移液机械臂和移板机械臂，三臂独立操作，实现移液、抓板等过程同时进行，互不干扰，提高实验效率</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唐璐</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流式细胞仪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免疫学、干细胞，遗传学等研究。对细胞表面、内部分子包括抗原、核酸等进行检测与分析，可用于分析蛋白表达、免疫分型、细胞凋亡、周期、增殖、细胞毒性、蛋白磷酸化、荧光蛋白、胞内活性氧水平、细胞膜电位、细胞内钙离子浓度等检测，需要多通道染色</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检测通道：共18个检测参数，16个荧光通道同时检测；FSC, SSC；蓝光：4个通道，FITC,EYFP,PI, PerCP-Cy5.5；红光：3个通道，APC, Alexa Flour 700,APC-Cy7；紫光：4个通道，Pacific Blue, AmCyan, Qdot 605,Qdot 655；黄光：5个通道，PE, PE-Texas Red, PE-Cy5,PE-Cy5.5, PE-Cy7</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69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流式细胞仪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免疫学、干细胞，遗传学等研究。对细胞表面、内部分子包括抗原、核酸等进行检测与分析，可用于分析蛋白表达、免疫分型、细胞凋亡、周期、增殖、细胞毒性、蛋白磷酸化、荧光蛋白、胞内活性氧水平、细胞膜电位、细胞内钙离子浓度等检测，需要多通道染色</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 液路动力：为防止管路堵塞，提供强液路压力，采用注射泵驱动，非蠕动泵驱动</w:t>
            </w:r>
            <w:r>
              <w:rPr>
                <w:rStyle w:val="6"/>
                <w:i w:val="0"/>
                <w:iCs w:val="0"/>
                <w:color w:val="000000"/>
                <w:lang w:val="en-US" w:eastAsia="zh-CN" w:bidi="ar"/>
              </w:rPr>
              <w:br w:type="textWrapping"/>
            </w:r>
            <w:r>
              <w:rPr>
                <w:rStyle w:val="6"/>
                <w:i w:val="0"/>
                <w:iCs w:val="0"/>
                <w:color w:val="000000"/>
                <w:lang w:val="en-US" w:eastAsia="zh-CN" w:bidi="ar"/>
              </w:rPr>
              <w:t>样本流速：5-120 μl/min，高中低三档可选，同时支持流速连续调节</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细胞能量代谢分析仪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主要用于实时侦测包括有氧呼吸以及糖酵解作用的细胞能量代谢的状态和动态，能同时进行活体细胞内线粒体耗氧速率和糖酵解产酸速率的实时、定量、全自动测定和分析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配有96个独立的光电二极管检测器，可同时对样品孔进行数据采集；而非采用单个检测器逐孔扫描的方式进行检测，避免因逐孔扫描产生的时间差对实验结果的影响</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肿瘤疾病研究中心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32通道小动物癫痫脑电采集分析系统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用于记录自由活动状态下小鼠的睡眠、癫痫和认知行为时的神经电活动，可同时进行32只动物的电生理信号采集。能够收集、处理和分析各种类型的生理信号（例如场电位，脑电，肌电，心电等）以及加速度传感器运动信号，并且能够和包括行为学设备、电刺激系统和视频同步系统配套使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数据采样率：每通道最高不小于2kHz，采样精度不小于24bit，分辨率不高于0.25uV</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高精度同步视频采集模块</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用于记录自由活动状态下小鼠的睡眠、癫痫和认知行为时的神经电活动，可同时进行32只动物的电生理信号采集。能够收集、处理和分析各种类型的生理信号（例如场电位，脑电，肌电，心电等）以及加速度传感器运动信号，并且能够和包括行为学设备、电刺激系统和视频同步系统配套使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摄像系统与脑电系统的同步控制方式采用软件内嵌方式，最大延时不超过100ms</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小动物癫痫行为学记录分析系统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用于记录自由活动状态下小鼠的睡眠、癫痫和认知行为时的神经电活动，可同时进行32只动物的电生理信号采集。能够收集、处理和分析各种类型的生理信号（例如场电位，脑电，肌电，心电等）以及加速度传感器运动信号，并且能够和包括行为学设备、电刺激系统和视频同步系统配套使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癫痫行为分析软件模块可与生物信号如EEG、EMG等整合同步实时分析，也能离线分析视频数据</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动物家居行为观察箱</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主要用于动物实验中在饲养环境下对动物的自发行为进行检测分析，同时自动化检测动物认知墙学习功能、奖惩实验、抑郁焦虑情绪检测、饮食饮水检测、行为节律分析等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系统可支持事件分组编辑功能，支持点事件、互斥事件和开始停止事件类型，最多可记录36种行为，采集数据时，能调节视频速度，可调范围：0.25x，0.5x，1x，2x，4x，8x等</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多通道全自动膜片钳</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用于离子通道电生理研究及离子通道相关新药研发与药物安全性检测</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适合各种常用细胞系、干细胞、多种原代细胞（如平滑肌、内皮细胞、血细胞和角膜细胞等）和人工脂双层膜</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蛋白质结晶自动化工作站</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主要用于蛋白质结晶过程中的结晶实验板点样过程，能够高速准确的完成蛋白质结晶实验板的制备，也可用于药物筛选等其他配液工作</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能同时分配96种不同的沉淀剂，且每种沉淀剂的单次配液体积为0.05ul~100ul</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药物靶标结构与功能中心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紫外荧光显微成像系统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用于蛋白质结晶过程中培养晶体，寻找和区分蛋白晶体的工作</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自动扫描SBS标准的结晶板或VDX标准(150mm*106mm)的结晶板上所有结晶孔（96-3型坐滴结晶板的288孔一次拍完）进行拍照。涵盖目前最主流的初筛SBS板和优化VDX板和LINBO板的规格，用途更广泛</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药物靶标结构与功能中心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激光眼科诊断仪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主要用于眼部组织进行断层成成像，进行视网膜结构及血管进行分析诊断</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实时眼球追踪功能：采用双光源同时同步进行眼底扫描，导航光源实时自动跟踪眼球移动，引导OCT光源进行位置调整，确保OCT扫描不受眼动影响，完全避免扫描伪迹</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79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18角度激光光散射仪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适用于各类高分子聚合物、天然及生物大分子的分离和绝对分子量和分布、均方旋转半径和分布、第二维利系数等高分子参数的测定表征，并得到分散度、大分子在溶液中构象、支化度及其聚集态等信息。用于生物大分子多糖药物的绝对分子量和分子量分布、分子尺寸大小和分布的测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检测角度：≥ 18个（需配备大于等于18个检测角度的光电二极管）</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糖类药物研发中心、中药现代化研发中心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生物质谱仪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适用于蛋白质组学：蛋白质组学研究中的蛋白质鉴定、翻译后修饰、生物大分子相互作用、多肽和蛋白质的定量分析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多级扫描功能MSn （n=1到10）；可执行高分辨多级和低分辨多级二种模式</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离子色谱-高分辨质谱联用仪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适用于化药和天然产物分析、代谢组学和脂质组学等小分子应用领域</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质量分析器采用四极杆与静电场轨道阱串联的组合，质量范围40-3,000 m/z；如果是四极杆与飞行时间质谱联用，必须具备离子淌度功能，且淌度的分辨率≥80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双系统超高效液相色谱仪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适用于药物合成，天然药物和天然产物，药剂学中等高极性物质的定性定量分析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压力范围：2-103 MPa（20–1034 bar, 290–15,000 psi ）</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实验室信息化系统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满足国家食品药品监督管理总局对生物样本分析实验室管理、质量、标准的要求，具备可溯源、可追踪、自动化的数据采集、样本管理、报告生成功能。实现实验室的研究工作与国际接轨，实现数据处理和管理的电子化、网络化、规范化、标准化、科学化和现代化</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 LIMS应具有DMPK实验室的测试方法的标准化与管理；集成化的样品跟踪。项目管理者和使用者能够快速灵活地进行基于流程的研究设计，建立实验方法，对样品进行高效率的管理，并能够根据实验的过程和结果自动判断是否需要增补实验内容</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药物安全评价研究中心、药物代谢研究中心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全自动生化分析仪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用于快速准确检测血清、血浆、尿液、脑脊液、全血等标本类型的多种生化指标</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测试速度：分光光度法≥2000测试/小时，离子选择电极法≥900测试/小时。可根据实验室发展进行在线扩展，分光光度法可无缝扩大到最大8000测试/小时，离子选择电极法可达最大1800测试/小时</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全自动模块式血液体液分析仪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该设备实现不同种类动物血细胞中白细胞五分类相对和绝对计数，实现红细胞和血小板的计数以及血红蛋白的测定。主要用于药物临床前毒理研究，根据动物的血细胞的数量和形态的变化来反应药物对动物的毒理作用，用于药物安全性评价</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有核红细胞检测功能：无需额外单独试剂即可检测核红细胞，并能自动进行对白细胞细胞计数的校正</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共焦显微拉曼光谱仪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主要用于药物科学、生命科学及材料科学等领域的应用研究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光谱分辨率：≤1 cm-1。检验标准：使用氖灯作为信号源，≥1800线高分辨光栅，测试585nm发光线，其半高全宽小于等于1波数（FWHM≤1cm-1）</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手术显微镜</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主要用于动物眼实验的眼底手术操作及数据、图像获取</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主镜可电动调节前后倾角，调节范围：≥-15°至 +105°</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细胞膜片钳</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细胞膜片钳系统用于测定特定生物反应和生命活动时膜电位的变化</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采样率： 8个输入通道分别采样率各自都≥500 kHz </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89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脑片膜片钳</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脑片膜片钳主要是用来研究脑内多巴胺与神经精神系统疾病的关系和药物新靶点的发现，还包括药物依赖和成瘾的机制和研究</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双探头放大器，记录时(β=1)噪声≤0.045 pA rms；全细胞记录时(β=1) 噪声≤ 0.55 pA rms；全细胞记录时(β=0.1) 噪声≤ 1.6 pA rms</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大鼠自身给药系统（16通道）系统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药物的精神依赖性是导致药物滥用的主要因素，国际上一般用自身给药实验法来评价药物的精神依赖性潜力</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原装进口挥发罐，精密的设计确保了输出浓度的准确，密闭性好，不受流量、温度、流速、压力变化的影响。麻醉浓度：0.5-8%可调节，麻醉剂易于购买</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光遗传超微型显微成像系统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通过使用微型光学器件、微型成像元件和微型镜体结构实现的微型化的宽场荧光显微镜对自由活动动物进行在体神经活动光学成像</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全自动防缠绕换向器：可自动识别线缠绕的方向并进行解缠绕操作、提供供电电源，静态扭矩：≤500 uNm，视频数据传输速率：≥1.4 Gbps，搭配换向器支架一套</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微波多肽合成仪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该设备主要用于进行人工多肽的化学合成，即固相多肽合成。以及多肽类似物的合成和修饰，包括蛋白偶联、化学标记等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反应容器至少两种规格，通过选择不同的反应器，实现了微量多肽合成和生产级多肽合成在同一仪器上的合二为一</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超临界流体色谱仪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用于手性化合物、结构类似物等化合物的分析分离</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需配同时具有电喷雾源(ESI)和大气压化学源(APCI)的复合离子源（ESI/APCI 复合离子源）实现一次进样完成ESI/APCI离子的同时检测,同时得到ESI+ ESI- APCI+ APCI-四通道数据。ESI 和APCI切换速率≤20 ms</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化学药物研发中心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全自动生化分析仪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生化分析仪是医院检验科、输血科、高校及科研实验室的主要生化指标检测设备，主要用于心肌酶谱、血糖血脂、肝功、肾功、特定蛋白、电解质等常规或急诊生化指标的检测，已成为食品检测、卫生检测和药物质量控制等领域重要的常规分析手段</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同时分析项目数最大134项，含吸光度/光散射/凝固法、计算项目、血清信息、电解质</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动物血液分析仪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用于动物实验中检测多种动物的血液和体液，从而数据化分析动物的多项生理指标</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有核红细胞检测功能：无需额外单独试剂即可检测核红细胞，并能自动进行对白细胞细胞计数的校正</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线粒体功能测定仪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通过对线粒体呼吸状态的在线监测与分析，更直接有效地研究细胞呼吸生理的变化情况</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极谱氧电极检测样本耗氧率，非荧光方法检测耗氧率，测氧精度可达1pmol·s-1·cm-3；稳定状态下5分钟内变化不超过0.8 pmol·s-1·cm-3</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代谢性疾病研究中心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16通道脑电和肌电数据采集系统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系统用于记录自由活动状态下小鼠的睡眠、癫痫和认知行为时的神经电活动，可同时进行多达16只动物的电生理信号采集</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提供不少于16个4通道的有线微型前置放大器，重量小于1g，可以用于自由活动的大小鼠脑电记录，配套线缆采用6芯的线缆，并且长度在2米以上，可通过延长线扩展到10米以上</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小动物脑内多通道记录系统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主要用于记录行为中小动物的神经信号，如动作电位，局部场电位等信号，分析脑电和行为所相对应的功能关系，阐述神经元功能</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主机至少包含2个16通道的数字信号输入端口，1个16通道数字信号输出端口，至少包含1个16通道模拟输入端口，数字输入支持单事件和字节编码模式，可标记事件数量达到上万种</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神经精神疾病研究中心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99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细胞和组织采集系统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根据细胞形态或荧光标记从贴壁和悬浮细胞培养采集单细胞；采集3D培养的克隆球；从组织切片采集特异性单细胞和组织区域；从微流控芯片采集单细胞和克隆</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以脉冲负压为动力，玻璃毛细管为采集工具，在显微镜下根据细胞形态学或荧光标记从任何细胞培养物或组织切片获得单独的荧光标记和形态学上不同的细胞</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全自动多通道平行多肽合成仪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可实现多通道平⾏合成至少4条多肽。电脑控制，智能化⼀键开启合成，合成过程⽆需⼈⼯参与</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仪器通量：至少4通道，可同时合成4条不同的多肽，单次可以合成 4*40ml 的体积，可以升级到6通道</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芯片点样仪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该设备可以将液体点样到任何靶标底物上。用于研究 DNA、蛋白及多糖阵列、细胞转染阵列产品，也适于在 MALDI-MS 靶材或生物传感器表面进行加样。应用于药物学、药理学、分析化学、植物学等研究领域</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台面喷点区域面积： 246 x 300 mm，并可以摆放 ≤36 片标准玻片</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桌面式荧光相关光谱单分子分析仪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可在普通实验室桌面环境下使用实现荧光相关光谱分析功能，分析溶液样品或细胞裂解液中的分子浓度、扩散系数/水动力半径、分子相互作用等特性，可应用于药物分子筛选、代谢规律等创新药研发</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共聚焦针孔校准：X、Y、Z轴三维自动校准，X、Y轴针孔重复定位精度≤2μm</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糖类药物研发中心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荧光酶联免疫斑点分析仪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集成酶联（荧光）免疫斑点的全流程功能，包括实验设计模块、细胞计数模块、读板计数模块、质控控制、统计模块等，所有数据都可以在仪器上完成</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荧光激发光源≥3个，光源类型为高能LED光源，寿命≥20000小时</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全自动凝血分析仪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主要用于出/止血功能的检查，其广泛应用于对临床各科出血性疾病或血栓性疾病的诊断、预防和治疗监测等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 仪器可提供≥四种检测方法学，结合多波长检测系统：1)凝固法（百分比检测方法）：405，660，800nm；2)发色底物法：405、340nm；3)免疫比浊法：575、800nm；4)凝集法：800nm；保证凝血检测项目及血小板聚集功能检测的全面开展</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全自动精子分析仪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设备主要用于动物生殖试验中对动物精子数量、形态及活动性的检测</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内置式一体化高分辨率CCD，影像分辨率≥640 x 480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眼科倍频Nd:YAG激光光凝仪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主要用于眼底激光光凝术</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连发间隔：至少0.02s/0.1s/0.2s/0.3s/0.5s/0.7s</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药物安全评价研究中心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高性能质谱成像系统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设备主要用于生物组织（包括临床组织样本）中代谢物时空分布研究，获得目标靶向和非靶向代谢物的结构、含量和空间分布信息</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高通量成像样品台：功能（1），可同时放置8块标准载玻片进行连续质谱成像实验。功能（2），整体动物扫描成像，扫描面积：150mm*100mm（提供成像样品台实物图片）</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药物代谢研究中心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全自动样品前处理系统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紧凑的八通道自动化仪器；系统执行一个标准的SPE方法来处理1块96孔板，包括样品预处理、活化、平衡、上样、清洗和洗脱步骤</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萃取模式：支持96孔板萃取模式，自动完成样品前处理的全过程（活化、进样、淋洗、洗脱收集或过滤等步骤），自动选择溶剂， 96孔萃取板</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药物代谢研究中心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109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RDS干热浴透皮仪/自动取样测试仪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主要用于检测经皮药物或化妆品在规定的溶剂中释放的速度和程度</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使用外置电脑工作站计算机程序控温的电加热模式，温度范围：30°C-40°C，精度：±1°C，实际精度：±0.3°C</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全自动点样仪+薄层色谱数码成像系统+全自动展开仪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可对中药复杂体系样品中的化学成分进行定性鉴别和含量测定等，可应用于中药分析、中药质量标准研究等领域</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点样头自带加热附件：30-60 C，间隔10C（大体积或使用挥发性差的溶剂时加热可除去部分溶剂减少斑点扩散）</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中药现代化研究中心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主动减振系统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解决振动尤其是低频振动对电镜图像造成干扰的问题</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设计方案：主动隔震台单独支撑镜筒，平台整体支持电镜外壳，确保外壳振动不影响镜筒</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张翔</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湿法制粒机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湿法制粒机是药物制剂和食品工业中常用的设备，主要用于将粉末物料通过润湿剂的作用形成颗粒。它的工作原理是利用机械力和湿粘合力，将粉末与液体混合，经搅拌、揉捏后，使粉末粒子间产生结合力，形成具有一定形状和强度的颗粒。湿法制粒机具有操作简便、颗粒质量好、污染小等优点，广泛应用于制药、化工、食品等行业。常见的湿法制粒机有旋转式、搅拌式和高速剪切式等类型。</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森松 </w:t>
            </w:r>
            <w:r>
              <w:rPr>
                <w:rStyle w:val="6"/>
                <w:rFonts w:hint="default"/>
                <w:i w:val="0"/>
                <w:iCs w:val="0"/>
                <w:color w:val="000000"/>
                <w:lang w:val="en-US" w:eastAsia="zh-CN" w:bidi="ar"/>
              </w:rPr>
              <w:t>实验型（2L+4L锅）</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多功能流化床</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多功能流化床是一种集干燥、制粒、包衣等多功能于一体的连续操作设备。它利用高速气流使物料在床层中呈流态化，实现物料与热空气的充分接触，提高传质传热效率。多功能流化床具有操作灵活、生产效率高、产品品质好等特点，广泛应用于制药、化工、食品等行业。设备可根据生产需求调整参数，实现不同工艺流程的转换，满足多种生产需求。</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森松</w:t>
            </w:r>
            <w:r>
              <w:rPr>
                <w:rStyle w:val="6"/>
                <w:rFonts w:hint="default"/>
                <w:i w:val="0"/>
                <w:iCs w:val="0"/>
                <w:color w:val="000000"/>
                <w:lang w:val="en-US" w:eastAsia="zh-CN" w:bidi="ar"/>
              </w:rPr>
              <w:t>实验型（2L+3L锅）</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超临界流体萃取（造粒）系统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临界萃取系统是一种利用超临界流体（如超临界二氧化碳）的溶解能力进行物质提取的高效分离技术。在超临界状态下，流体具有液体和气体的双重特性，能高效渗透固体物料，提取目标成分。系统主要包括萃取器、分离器、压缩机等。具有无溶剂残留、操作温度低、产品纯度高和环境友好等优点，广泛应用于食品、医药、香料等领域。</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Waters </w:t>
            </w:r>
            <w:r>
              <w:rPr>
                <w:rStyle w:val="6"/>
                <w:rFonts w:hint="default"/>
                <w:i w:val="0"/>
                <w:iCs w:val="0"/>
                <w:color w:val="000000"/>
                <w:lang w:val="en-US" w:eastAsia="zh-CN" w:bidi="ar"/>
              </w:rPr>
              <w:t>SFE500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中试用真空均质乳化机</w:t>
            </w:r>
            <w:r>
              <w:rPr>
                <w:rStyle w:val="6"/>
                <w:rFonts w:hint="default"/>
                <w:i w:val="0"/>
                <w:iCs w:val="0"/>
                <w:color w:val="000000"/>
                <w:lang w:val="en-US" w:eastAsia="zh-CN" w:bidi="ar"/>
              </w:rPr>
              <w:br w:type="textWrapping"/>
            </w:r>
            <w:r>
              <w:rPr>
                <w:rStyle w:val="6"/>
                <w:rFonts w:hint="default"/>
                <w:i w:val="0"/>
                <w:iCs w:val="0"/>
                <w:color w:val="000000"/>
                <w:lang w:val="en-US" w:eastAsia="zh-CN" w:bidi="ar"/>
              </w:rPr>
              <w:t>(Fisco-5S-A反应器)</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真空均质乳化机是一种在真空条件下，通过高速旋转的乳化头将两种不相溶的液体迅速均匀混合的设备。它适用于化妆品、食品、医药等行业，能够制备出细腻、稳定的乳化产品。该机器通过高剪切力和真空环境的结合，减少气泡产生，提高乳化效果，确保产品质量。操作简便，清洗方便，是生产乳液、膏体等产品的理想设备。</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FLUKO </w:t>
            </w:r>
            <w:r>
              <w:rPr>
                <w:rStyle w:val="6"/>
                <w:rFonts w:hint="default"/>
                <w:i w:val="0"/>
                <w:iCs w:val="0"/>
                <w:color w:val="000000"/>
                <w:lang w:val="en-US" w:eastAsia="zh-CN" w:bidi="ar"/>
              </w:rPr>
              <w:t>Fisc-5S-A</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冷冻干燥机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冷冻干燥机是一种通过冷冻和减压将水分从物料中升华去除的干燥设备。适用于热敏性物料的干燥，能保持物料原有结构和活性。工作原理是将含水分物料冷冻至冰点以下，然后在真空条件下加热，使水分直接从固态变为气态，实现干燥。广泛应用于制药、食品、生物制品等行业，特别适合抗生素、疫苗、血浆等产品的干燥。冷冻干燥机具有干燥产品质量高、复水性好的特点。</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四环 </w:t>
            </w:r>
            <w:r>
              <w:rPr>
                <w:rStyle w:val="6"/>
                <w:rFonts w:hint="default"/>
                <w:i w:val="0"/>
                <w:iCs w:val="0"/>
                <w:color w:val="000000"/>
                <w:lang w:val="en-US" w:eastAsia="zh-CN" w:bidi="ar"/>
              </w:rPr>
              <w:t>LGJ-100G</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制备HPLC系统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高效液相色谱（HPLC）是一种用于分离、鉴定和定量分析混合物中化合物的分析技术。制备HPLC在此基础上，通过多次循环进样，从样品中分离出目标化合物，实现毫克至克级的纯物质制备。它利用高压泵、色谱柱、检测器和馏分收集器等组件，根据化合物在固定相和流动相中的不同分配系数进行分离。制备HPLC在药物合成、天然产物提取、食品安全等领域具有重要应用。</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创新通恒 </w:t>
            </w:r>
            <w:r>
              <w:rPr>
                <w:rStyle w:val="6"/>
                <w:rFonts w:hint="default"/>
                <w:i w:val="0"/>
                <w:iCs w:val="0"/>
                <w:color w:val="000000"/>
                <w:lang w:val="en-US" w:eastAsia="zh-CN" w:bidi="ar"/>
              </w:rPr>
              <w:t>LC6000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挤出</w:t>
            </w:r>
            <w:r>
              <w:rPr>
                <w:rStyle w:val="6"/>
                <w:i w:val="0"/>
                <w:iCs w:val="0"/>
                <w:color w:val="000000"/>
                <w:lang w:val="en-US" w:eastAsia="zh-CN" w:bidi="ar"/>
              </w:rPr>
              <w:t>滚圆机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挤出滚圆机是一种制药设备，用于将湿法制粒的物料通过挤出和滚圆过程形成均匀的球形颗粒。它主要由挤出机和滚圆机两部分组成，挤出机将物料通过一定孔径的模具挤出成条状，随后进入滚圆机，在离心力和摩擦力的作用下，条状物料被滚圆成球形颗粒。这种设备适用于大规模生产，提高药物颗粒的流动性和压缩成型性，广泛应用于制药工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英格 </w:t>
            </w:r>
            <w:r>
              <w:rPr>
                <w:rStyle w:val="6"/>
                <w:rFonts w:hint="default"/>
                <w:i w:val="0"/>
                <w:iCs w:val="0"/>
                <w:color w:val="000000"/>
                <w:lang w:val="en-US" w:eastAsia="zh-CN" w:bidi="ar"/>
              </w:rPr>
              <w:t>E-50</w:t>
            </w:r>
            <w:r>
              <w:rPr>
                <w:rStyle w:val="6"/>
                <w:i w:val="0"/>
                <w:iCs w:val="0"/>
                <w:color w:val="000000"/>
                <w:lang w:val="en-US" w:eastAsia="zh-CN" w:bidi="ar"/>
              </w:rPr>
              <w:t>/CGC-350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119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全自动胶囊充填机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胶囊填充机是制药机械，用于将粉末、颗粒或小丸等药物填充到空胶囊中。它通过精确的计量和机械操作，将药物充入胶囊壳内，然后封闭胶囊，完成胶囊剂的制备。胶囊填充机分为手动、半自动和全自动几种，具有操作简便、效率高、污染少等特点，适用于制药企业大规模生产。常见的填充方式有单剂量填充和多剂量填充，确保了药品的均匀性和稳定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天和 </w:t>
            </w:r>
            <w:r>
              <w:rPr>
                <w:rStyle w:val="6"/>
                <w:rFonts w:hint="default"/>
                <w:i w:val="0"/>
                <w:iCs w:val="0"/>
                <w:color w:val="000000"/>
                <w:lang w:val="en-US" w:eastAsia="zh-CN" w:bidi="ar"/>
              </w:rPr>
              <w:t>NJP200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微流控制备仪</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微流控制备仪是一种用于在微米或纳米尺度上进行流体控制和操作的实验设备，它能够在极小的空间内精确地处理微量流体。这种仪器通常用于生物实验室、化学实验室和药物研发等领域，用于进行高通量实验、微流控芯片上的细胞培养、DNA测序、蛋白质结晶等研究。微流控制备仪的特点是能够实现微流体的精确控制、混合、分离和检测，具有样品消耗少、反应速度快、自动化程度高等优势，是微流控技术的重要工具。</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艾特森 </w:t>
            </w:r>
            <w:r>
              <w:rPr>
                <w:rStyle w:val="6"/>
                <w:rFonts w:hint="default"/>
                <w:i w:val="0"/>
                <w:iCs w:val="0"/>
                <w:color w:val="000000"/>
                <w:lang w:val="en-US" w:eastAsia="zh-CN" w:bidi="ar"/>
              </w:rPr>
              <w:t>MPE-L1</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Mini微射流均质机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微射流均质机是一种高效物料细化设备，利用高压泵产生的高速微射流在均质腔内对物料进行剪切、冲击和空化处理，实现颗粒细化和均匀分散。适用于制药、食品、化工等行业，特别适合处理热敏感物料，具有快速、可控、粒度分布窄的优点。</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诺泽 </w:t>
            </w:r>
            <w:r>
              <w:rPr>
                <w:rStyle w:val="6"/>
                <w:rFonts w:hint="default"/>
                <w:i w:val="0"/>
                <w:iCs w:val="0"/>
                <w:color w:val="000000"/>
                <w:lang w:val="en-US" w:eastAsia="zh-CN" w:bidi="ar"/>
              </w:rPr>
              <w:t>Mini</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旋转式压片机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旋转式压片机是一种制药机械，用于将粉末或颗粒状物料压制成片剂。它通过旋转的转盘和固定的冲模来实现物料的填充、压制和脱模。具有操作简便、生产效率高、片剂质量稳定等特点，适用于大规模制药生产。旋转式压片机可根据不同的产量需求选择不同的机型，广泛应用于制药、保健品、食品等行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龙立 </w:t>
            </w:r>
            <w:r>
              <w:rPr>
                <w:rStyle w:val="6"/>
                <w:rFonts w:hint="default"/>
                <w:i w:val="0"/>
                <w:iCs w:val="0"/>
                <w:color w:val="000000"/>
                <w:lang w:val="en-US" w:eastAsia="zh-CN" w:bidi="ar"/>
              </w:rPr>
              <w:t>GL-220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123</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小批量多功能滴丸机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小批量多功能滴丸机是一种适用于实验室和小规模生产的制药设备，用于制备滴丸剂。它具有操作灵活、功能多样、占地面积小等特点，能够实现滴制、冷却、干燥等工序。适用于多种基质和药物配方，适合研发和新产品小试，广泛应用于制药、保健品和化妆品等行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博鑫 </w:t>
            </w:r>
            <w:r>
              <w:rPr>
                <w:rStyle w:val="6"/>
                <w:rFonts w:hint="default"/>
                <w:i w:val="0"/>
                <w:iCs w:val="0"/>
                <w:color w:val="000000"/>
                <w:lang w:val="en-US" w:eastAsia="zh-CN" w:bidi="ar"/>
              </w:rPr>
              <w:t>DWJP –III</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124</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软胶囊压丸机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软胶囊压丸机是一种用于制药工业的设备，专门用于软胶囊的成型。它通过精密的控制系统，将液态或半固态药物封装在软质胶囊中，实现定量、高效的生产。该机器具有操作简便、胶囊尺寸一致、生产效率高等特点，适用于中小型药厂和研发机构，用于生产保健品、药品等软胶囊产品。</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鑫航成 </w:t>
            </w:r>
            <w:r>
              <w:rPr>
                <w:rStyle w:val="6"/>
                <w:rFonts w:hint="default"/>
                <w:i w:val="0"/>
                <w:iCs w:val="0"/>
                <w:color w:val="000000"/>
                <w:lang w:val="en-US" w:eastAsia="zh-CN" w:bidi="ar"/>
              </w:rPr>
              <w:t>YWJ100-II型</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125</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包衣机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包衣机是制药设备，用于在药片、胶囊或颗粒表面涂上一层糖衣或其他功能性涂层。它通过旋转式或流化床技术，使物料在热空气作用下均匀涂布，实现防潮、掩味、缓释等功能。包衣机操作灵活，效率高，广泛应用于制药行业，提升药品的稳定性和患者顺应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信谊特 </w:t>
            </w:r>
            <w:r>
              <w:rPr>
                <w:rStyle w:val="6"/>
                <w:rFonts w:hint="default"/>
                <w:i w:val="0"/>
                <w:iCs w:val="0"/>
                <w:color w:val="000000"/>
                <w:lang w:val="en-US" w:eastAsia="zh-CN" w:bidi="ar"/>
              </w:rPr>
              <w:t>Labcoating Ⅱ</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126</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全自动栓剂生产线</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栓剂生产线是一种高效、自动化的制药设备，用于连续生产栓剂。它集称重、制粒、压制、包衣、打光、干燥和包装于一体，实现从原料到成品的全流程自动化。该生产线提高生产效率，降低劳动强度，确保产品质量均一，适用于大规模栓剂生产。</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缘迎 </w:t>
            </w:r>
            <w:r>
              <w:rPr>
                <w:rStyle w:val="6"/>
                <w:rFonts w:hint="default"/>
                <w:i w:val="0"/>
                <w:iCs w:val="0"/>
                <w:color w:val="000000"/>
                <w:lang w:val="en-US" w:eastAsia="zh-CN" w:bidi="ar"/>
              </w:rPr>
              <w:t>SJ-1L</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127</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旋转式包芯机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旋转式包芯机是一种用于制药行业的设备，专门用于将芯料（如药物粉末）包裹在载体材料（如糖球）内部，形成包芯产品。它通过旋转装置使载体和芯料在运动中均匀混合，并利用包衣技术将芯料包裹在载体内部。该机器具有操作简便、生产效率高、包芯均匀等优点，适用于制药企业生产胶囊、药丸等包芯产品。</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天和 </w:t>
            </w:r>
            <w:r>
              <w:rPr>
                <w:rStyle w:val="6"/>
                <w:rFonts w:hint="default"/>
                <w:i w:val="0"/>
                <w:iCs w:val="0"/>
                <w:color w:val="000000"/>
                <w:lang w:val="en-US" w:eastAsia="zh-CN" w:bidi="ar"/>
              </w:rPr>
              <w:t>ZPW26</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128</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干法造粒机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干法造粒机是一种无需使用润湿剂或液体的造粒设备，通过机械力使粉末物料在干燥状态下团聚成颗粒。它适用于热敏感物料和难以湿法处理的物料，具有操作简单、生产速度快、颗粒强度高等特点，广泛应用于制药、化工、食品等行业。</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灿华 </w:t>
            </w:r>
            <w:r>
              <w:rPr>
                <w:rStyle w:val="6"/>
                <w:rFonts w:hint="default"/>
                <w:i w:val="0"/>
                <w:iCs w:val="0"/>
                <w:color w:val="000000"/>
                <w:lang w:val="en-US" w:eastAsia="zh-CN" w:bidi="ar"/>
              </w:rPr>
              <w:t>GK-70（不含振荡筛）</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129</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超微粉气流粉碎机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超微气流粉碎机是一种利用高速气流对物料进行冲击、剪切、摩擦等作用，实现物料超细粉碎的设备。它适用于脆性、韧性及纤维状物料的粉碎，具有粒度分布均匀、无污染、低温操作等特点，广泛应用于医药、化工、食品、新材料等领域。超微气流粉碎机能产生纳米级至亚微米级的超细粉体，对提高产品品质和附加值具有重要意义。</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诺泽 </w:t>
            </w:r>
            <w:r>
              <w:rPr>
                <w:rStyle w:val="6"/>
                <w:rFonts w:hint="default"/>
                <w:i w:val="0"/>
                <w:iCs w:val="0"/>
                <w:color w:val="000000"/>
                <w:lang w:val="en-US" w:eastAsia="zh-CN" w:bidi="ar"/>
              </w:rPr>
              <w:t>Micron Jet Mil 4</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130</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水性巴布剂水凝胶涂布机流水线</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巴布剂涂布机是专门用于生产巴布剂（一种贴膏剂型）的设备，能够将巴布剂基质均匀涂布在支撑材料上。该机器通常包括供料系统、涂布系统、干燥系统和收卷系统，具有操作简便、涂布精度高、生产效率强等特点。适用于制药、医疗器械等行业，用于生产医用贴膏、美容面膜等产品。</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博尔 </w:t>
            </w:r>
            <w:r>
              <w:rPr>
                <w:rStyle w:val="6"/>
                <w:rFonts w:hint="default"/>
                <w:i w:val="0"/>
                <w:iCs w:val="0"/>
                <w:color w:val="000000"/>
                <w:lang w:val="en-US" w:eastAsia="zh-CN" w:bidi="ar"/>
              </w:rPr>
              <w:t>RK-200</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131</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全自动脂质体挤出系统</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全自动脂质体挤出系统是一种用于制备脂质体的专业设备，通过精确控制挤出过程，将脂质体混合物通过微孔膜，以实现脂质体的均一化和粒径控制。该机器具备自动化操作、高精度温度控制、多级挤出功能，适用于医药研发和生产，能够提高脂质体药物的生产效率和质量。</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诺泽 </w:t>
            </w:r>
            <w:r>
              <w:rPr>
                <w:rStyle w:val="6"/>
                <w:rFonts w:hint="default"/>
                <w:i w:val="0"/>
                <w:iCs w:val="0"/>
                <w:color w:val="000000"/>
                <w:lang w:val="en-US" w:eastAsia="zh-CN" w:bidi="ar"/>
              </w:rPr>
              <w:t>NOZEX-90，NOZEX-142</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pPr>
              <w:keepNext w:val="0"/>
              <w:keepLines w:val="0"/>
              <w:widowControl/>
              <w:suppressLineNumbers w:val="0"/>
              <w:jc w:val="center"/>
              <w:textAlignment w:val="center"/>
              <w:rPr>
                <w:rStyle w:val="6"/>
                <w:rFonts w:hint="default"/>
                <w:i w:val="0"/>
                <w:iCs w:val="0"/>
                <w:color w:val="000000"/>
                <w:lang w:val="en-US" w:eastAsia="zh-CN" w:bidi="ar"/>
              </w:rPr>
            </w:pPr>
            <w:r>
              <w:rPr>
                <w:rStyle w:val="6"/>
                <w:rFonts w:hint="eastAsia"/>
                <w:i w:val="0"/>
                <w:iCs w:val="0"/>
                <w:color w:val="000000"/>
                <w:lang w:val="en-US" w:eastAsia="zh-CN" w:bidi="ar"/>
              </w:rPr>
              <w:t>132</w:t>
            </w:r>
          </w:p>
        </w:tc>
        <w:tc>
          <w:tcPr>
            <w:tcW w:w="18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default"/>
                <w:i w:val="0"/>
                <w:iCs w:val="0"/>
                <w:color w:val="000000"/>
                <w:lang w:val="en-US" w:eastAsia="zh-CN" w:bidi="ar"/>
              </w:rPr>
              <w:t>ATS实验型热熔挤出机</w:t>
            </w:r>
          </w:p>
        </w:tc>
        <w:tc>
          <w:tcPr>
            <w:tcW w:w="3525"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实验型热熔挤出机是一种用于实验室规模药物制剂研发的设备，通过加热和剪切作用将药物与载体混合，实现熔融挤出、造粒或成型。它具有操作灵活、参数可调、体积小等特点，适合小批量生产和新药研发，有助于优化配方和工艺。</w:t>
            </w:r>
          </w:p>
        </w:tc>
        <w:tc>
          <w:tcPr>
            <w:tcW w:w="3458"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i w:val="0"/>
                <w:iCs w:val="0"/>
                <w:color w:val="000000"/>
                <w:lang w:val="en-US" w:eastAsia="zh-CN" w:bidi="ar"/>
              </w:rPr>
              <w:t xml:space="preserve">ATS </w:t>
            </w:r>
            <w:r>
              <w:rPr>
                <w:rStyle w:val="6"/>
                <w:rFonts w:hint="default"/>
                <w:i w:val="0"/>
                <w:iCs w:val="0"/>
                <w:color w:val="000000"/>
                <w:lang w:val="en-US" w:eastAsia="zh-CN" w:bidi="ar"/>
              </w:rPr>
              <w:t>ZE-16/FZ-16/GD-16</w:t>
            </w:r>
          </w:p>
        </w:tc>
        <w:tc>
          <w:tcPr>
            <w:tcW w:w="2409"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药物制剂研究中心</w:t>
            </w:r>
          </w:p>
        </w:tc>
        <w:tc>
          <w:tcPr>
            <w:tcW w:w="1833" w:type="dxa"/>
            <w:vAlign w:val="center"/>
          </w:tcPr>
          <w:p>
            <w:pPr>
              <w:keepNext w:val="0"/>
              <w:keepLines w:val="0"/>
              <w:widowControl/>
              <w:suppressLineNumbers w:val="0"/>
              <w:jc w:val="center"/>
              <w:textAlignment w:val="center"/>
              <w:rPr>
                <w:rStyle w:val="6"/>
                <w:rFonts w:hint="eastAsia"/>
                <w:i w:val="0"/>
                <w:iCs w:val="0"/>
                <w:color w:val="000000"/>
                <w:lang w:val="en-US" w:eastAsia="zh-CN" w:bidi="ar"/>
              </w:rPr>
            </w:pPr>
            <w:r>
              <w:rPr>
                <w:rStyle w:val="6"/>
                <w:rFonts w:hint="eastAsia"/>
                <w:i w:val="0"/>
                <w:iCs w:val="0"/>
                <w:color w:val="000000"/>
                <w:lang w:val="en-US" w:eastAsia="zh-CN" w:bidi="ar"/>
              </w:rPr>
              <w:t>0760-85286866</w:t>
            </w:r>
          </w:p>
        </w:tc>
      </w:tr>
    </w:tbl>
    <w:p>
      <w:pPr>
        <w:jc w:val="center"/>
        <w:rPr>
          <w:rFonts w:hint="eastAsia" w:asciiTheme="majorEastAsia" w:hAnsiTheme="majorEastAsia" w:eastAsiaTheme="majorEastAsia" w:cstheme="majorEastAsia"/>
          <w:sz w:val="40"/>
          <w:szCs w:val="48"/>
        </w:rPr>
      </w:pPr>
    </w:p>
    <w:p>
      <w:pPr>
        <w:jc w:val="both"/>
        <w:rPr>
          <w:rFonts w:hint="eastAsia" w:asciiTheme="majorEastAsia" w:hAnsiTheme="majorEastAsia" w:eastAsiaTheme="majorEastAsia" w:cstheme="majorEastAsia"/>
          <w:sz w:val="40"/>
          <w:szCs w:val="4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at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N2E0MWM2NjM0MmQ2OThkYzE2MzdkMDBmNGRlZGMifQ=="/>
  </w:docVars>
  <w:rsids>
    <w:rsidRoot w:val="00000000"/>
    <w:rsid w:val="11A2256A"/>
    <w:rsid w:val="183F032B"/>
    <w:rsid w:val="29474F79"/>
    <w:rsid w:val="32DC5A0E"/>
    <w:rsid w:val="3CC5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character" w:customStyle="1" w:styleId="6">
    <w:name w:val="font31"/>
    <w:basedOn w:val="4"/>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hint="default" w:ascii="Times New Roman" w:hAnsi="Times New Roman" w:cs="Times New Roman"/>
      <w:color w:val="000000"/>
      <w:sz w:val="22"/>
      <w:szCs w:val="22"/>
      <w:u w:val="none"/>
    </w:rPr>
  </w:style>
  <w:style w:type="character" w:customStyle="1" w:styleId="8">
    <w:name w:val="font21"/>
    <w:basedOn w:val="4"/>
    <w:qFormat/>
    <w:uiPriority w:val="0"/>
    <w:rPr>
      <w:rFonts w:hint="eastAsia" w:ascii="宋体" w:hAnsi="宋体" w:eastAsia="宋体" w:cs="宋体"/>
      <w:color w:val="000000"/>
      <w:sz w:val="28"/>
      <w:szCs w:val="28"/>
      <w:u w:val="none"/>
    </w:rPr>
  </w:style>
  <w:style w:type="character" w:customStyle="1" w:styleId="9">
    <w:name w:val="font41"/>
    <w:basedOn w:val="4"/>
    <w:uiPriority w:val="0"/>
    <w:rPr>
      <w:rFonts w:ascii="微软雅黑" w:hAnsi="微软雅黑" w:eastAsia="微软雅黑" w:cs="微软雅黑"/>
      <w:color w:val="000000"/>
      <w:sz w:val="22"/>
      <w:szCs w:val="22"/>
      <w:u w:val="none"/>
    </w:rPr>
  </w:style>
  <w:style w:type="character" w:customStyle="1" w:styleId="10">
    <w:name w:val="font71"/>
    <w:basedOn w:val="4"/>
    <w:uiPriority w:val="0"/>
    <w:rPr>
      <w:rFonts w:ascii="Calibri" w:hAnsi="Calibri" w:cs="Calibri"/>
      <w:color w:val="000000"/>
      <w:sz w:val="22"/>
      <w:szCs w:val="22"/>
      <w:u w:val="none"/>
    </w:rPr>
  </w:style>
  <w:style w:type="character" w:customStyle="1" w:styleId="11">
    <w:name w:val="font11"/>
    <w:basedOn w:val="4"/>
    <w:uiPriority w:val="0"/>
    <w:rPr>
      <w:rFonts w:hint="eastAsia" w:ascii="宋体" w:hAnsi="宋体" w:eastAsia="宋体" w:cs="宋体"/>
      <w:color w:val="000000"/>
      <w:sz w:val="22"/>
      <w:szCs w:val="22"/>
      <w:u w:val="none"/>
    </w:rPr>
  </w:style>
  <w:style w:type="character" w:customStyle="1" w:styleId="12">
    <w:name w:val="font81"/>
    <w:basedOn w:val="4"/>
    <w:qFormat/>
    <w:uiPriority w:val="0"/>
    <w:rPr>
      <w:rFonts w:ascii="Batang" w:hAnsi="Batang" w:eastAsia="Batang" w:cs="Batang"/>
      <w:color w:val="000000"/>
      <w:sz w:val="22"/>
      <w:szCs w:val="22"/>
      <w:u w:val="none"/>
    </w:rPr>
  </w:style>
  <w:style w:type="character" w:customStyle="1" w:styleId="13">
    <w:name w:val="font101"/>
    <w:basedOn w:val="4"/>
    <w:qFormat/>
    <w:uiPriority w:val="0"/>
    <w:rPr>
      <w:rFonts w:hint="default" w:ascii="Times New Roman" w:hAnsi="Times New Roman" w:cs="Times New Roman"/>
      <w:color w:val="000000"/>
      <w:sz w:val="22"/>
      <w:szCs w:val="22"/>
      <w:u w:val="none"/>
    </w:rPr>
  </w:style>
  <w:style w:type="character" w:customStyle="1" w:styleId="14">
    <w:name w:val="font51"/>
    <w:basedOn w:val="4"/>
    <w:qFormat/>
    <w:uiPriority w:val="0"/>
    <w:rPr>
      <w:rFonts w:ascii="Malgun Gothic Semilight" w:hAnsi="Malgun Gothic Semilight" w:eastAsia="Malgun Gothic Semilight" w:cs="Malgun Gothic Semilight"/>
      <w:color w:val="000000"/>
      <w:sz w:val="24"/>
      <w:szCs w:val="24"/>
      <w:u w:val="none"/>
    </w:rPr>
  </w:style>
  <w:style w:type="character" w:customStyle="1" w:styleId="15">
    <w:name w:val="font112"/>
    <w:basedOn w:val="4"/>
    <w:uiPriority w:val="0"/>
    <w:rPr>
      <w:rFonts w:hint="eastAsia" w:ascii="宋体" w:hAnsi="宋体" w:eastAsia="宋体" w:cs="宋体"/>
      <w:color w:val="000000"/>
      <w:sz w:val="24"/>
      <w:szCs w:val="24"/>
      <w:u w:val="none"/>
    </w:rPr>
  </w:style>
  <w:style w:type="character" w:customStyle="1" w:styleId="16">
    <w:name w:val="font121"/>
    <w:basedOn w:val="4"/>
    <w:qFormat/>
    <w:uiPriority w:val="0"/>
    <w:rPr>
      <w:rFonts w:hint="default" w:ascii="Times New Roman" w:hAnsi="Times New Roman" w:cs="Times New Roman"/>
      <w:color w:val="000000"/>
      <w:sz w:val="24"/>
      <w:szCs w:val="24"/>
      <w:u w:val="none"/>
    </w:rPr>
  </w:style>
  <w:style w:type="character" w:customStyle="1" w:styleId="17">
    <w:name w:val="font9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16669</Words>
  <Characters>20124</Characters>
  <Lines>0</Lines>
  <Paragraphs>0</Paragraphs>
  <TotalTime>2</TotalTime>
  <ScaleCrop>false</ScaleCrop>
  <LinksUpToDate>false</LinksUpToDate>
  <CharactersWithSpaces>20344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2025-05-08T01:44:00Z</dcterms:created>
  <dc:creator>50594</dc:creator>
  <cp:lastModifiedBy>EleNA</cp:lastModifiedBy>
  <dcterms:modified xsi:type="dcterms:W3CDTF">2025-05-14T07:24:58Z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8EFE3D4F9749412EA90F3DCDF85ECDF2</vt:lpwstr>
  </property>
</Properties>
</file>