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17171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71717"/>
          <w:spacing w:val="0"/>
          <w:sz w:val="32"/>
          <w:szCs w:val="32"/>
          <w:shd w:val="clear" w:fill="FFFFFF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center"/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</w:pPr>
      <w:bookmarkStart w:id="1" w:name="_GoBack"/>
      <w:bookmarkEnd w:id="1"/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  <w:t>202</w:t>
      </w: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  <w:t>年第十</w:t>
      </w: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  <w:lang w:eastAsia="zh-CN"/>
        </w:rPr>
        <w:t>三</w:t>
      </w: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  <w:t>届中国创新创业大赛（广东·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center"/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</w:pP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  <w:t>中山赛区）暨第</w:t>
      </w: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  <w:lang w:eastAsia="zh-CN"/>
        </w:rPr>
        <w:t>八</w:t>
      </w: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  <w:t>届中山市科技创新创业大赛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center"/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</w:pPr>
      <w:r>
        <w:rPr>
          <w:rStyle w:val="8"/>
          <w:rFonts w:hint="eastAsia" w:ascii="创艺简标宋" w:hAnsi="创艺简标宋" w:eastAsia="创艺简标宋" w:cs="创艺简标宋"/>
          <w:b w:val="0"/>
          <w:bCs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  <w:t>工作方案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center"/>
        <w:rPr>
          <w:rStyle w:val="8"/>
          <w:rFonts w:hint="eastAsia" w:ascii="黑体" w:hAnsi="黑体" w:eastAsia="黑体" w:cs="黑体"/>
          <w:i w:val="0"/>
          <w:iCs w:val="0"/>
          <w:caps w:val="0"/>
          <w:color w:val="171717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根据《关于举办第十三届中国创新创业大赛的通知》（火炬〔2024〕8号）、《广东省科学技术厅关于举办第十三届中国创新创业大赛（广东赛区）暨第十二届“珠江天使杯” 科技创新创业大赛的通知》（粤科函区字〔2024〕778 号）有关要求和部署，组织举办2024年第十三届中国创新创业大赛（广东·中山赛区）暨第八届中山市科技创新创业大赛，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具体工作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方案如下：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一、大赛主题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因创而聚，向新同行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二、组织机构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  <w:t>（一）指导单位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广东省科学技术厅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广东省生产力促进中心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广东省科技金融促进会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  <w:t>（二）主办单位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中山市科学技术局（以下简称“市科技局”）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  <w:t>（三）承办单位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中山市生产力促进中心（以下简称“市生产力”）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中山市科技金融创新促进会（以下简称“市科金会”）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48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三、参赛条件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  <w:t>（一）企业在中山市内注册，具有创新能力和高成长潜力，拥有知识产权且无产权纠纷，主要从事高新技术产品研发、制造、服务等业务。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  <w:t>（二）企业经营规范，社会信誉良好、无不良记录，且为非上市企业。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  <w:t>（三）企业2023年营业收入不超过2亿元人民币。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  <w:t>（四）大赛按照初创企业组和成长企业组进行比赛。工商注册时间在2023年1月1日（含）之后的企业可参加初创企业组比赛，其他企业参加成长企业组比赛。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 w:bidi="zh-CN"/>
        </w:rPr>
        <w:t>（五）在往届大赛全国总决赛或全国行业总决赛中获得一、二、三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 w:bidi="zh-CN"/>
        </w:rPr>
        <w:t>名或一、二、三等奖的企业不参加本届大赛。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04" w:firstLineChars="200"/>
        <w:jc w:val="left"/>
        <w:rPr>
          <w:rFonts w:hint="eastAsia" w:ascii="黑体" w:hAnsi="黑体" w:eastAsia="黑体" w:cs="黑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四、大赛流程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04"/>
        <w:jc w:val="left"/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本届大赛属于中国创新创业大赛（广东赛区）地方赛，大赛面向新一代信息技术、生物医药、高端装备制造、新材料、新能源、新能源汽车、节能环保七个战略性新兴产业征集项目参赛。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04"/>
        <w:jc w:val="left"/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赛事流程分为报名、初赛、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市决赛、省赛、全国赛等环节</w:t>
      </w: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（一）报名参赛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597" w:firstLineChars="198"/>
        <w:jc w:val="left"/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自评符合参赛条件的企业自愿登录中国创新创业大赛官网（www.cxcyds.com）统一注册报名。报名企业在进行注册和统一身份认证后，应提交完整报名材料，并对所填信息的准确性和真实性负责。大赛官网是报名参赛的唯一渠道，不向参赛企业收取任何费用，其他报名渠道均无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04"/>
        <w:jc w:val="left"/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注册截止时间：2024年7月15日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04"/>
        <w:jc w:val="left"/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报名截止时间：2024年7月20日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（二）资格确认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9"/>
          <w:kern w:val="2"/>
          <w:sz w:val="32"/>
          <w:szCs w:val="32"/>
          <w:lang w:val="en-US" w:eastAsia="zh-CN" w:bidi="zh-CN"/>
        </w:rPr>
        <w:t>市科技局于7月24日前完成资格确认。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（三）初赛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仿宋_GB2312" w:hAnsi="仿宋_GB2312" w:eastAsia="仿宋_GB2312" w:cs="仿宋_GB2312"/>
          <w:color w:val="auto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2"/>
          <w:sz w:val="32"/>
          <w:szCs w:val="32"/>
          <w:lang w:val="en-US" w:eastAsia="zh-CN" w:bidi="zh-CN"/>
        </w:rPr>
        <w:t>由市生产力、市科金会统一组织网络评审。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2024年7月下旬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（四）市决赛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中山赛区根据网络评审结果，公布晋级名单并组织晋级企业进行中山市科技创新创业大赛决赛，包括路演答辩、尽职调查等环节。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路演答辩，采用“现场答辩、当场亮分”的方式进行，按照大赛评选规则对参赛企业进行现场路演评审。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2.尽职调查，晋级市决赛的企业需配合进行尽职调查。对调查中发现存在弄虚作假情况的企业，取消晋级资格和大赛获奖补助申请资格；不接受尽职调查的企业视为退赛。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完成时间：2024年8月14日前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（五）确定晋级省领域赛名单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省大赛组委会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晋级省行业赛决赛的企业名单。通过公告的企业方可参加省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领域赛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，未通过公告的将取消参赛资格。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确定晋级名单日期：2024 年 8 月 15 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（六）省决赛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省决赛分为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领域赛和总决赛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两个环节，由省大赛组委会负责牵头组织，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按照初创企业组和成长企业组分开进行比赛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采用线下公开路演方式进行，比赛向观众全程开放，并通过有关网络平台等进行直播。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 xml:space="preserve">1.省领域赛。省领域赛由大赛组委会按照新一代信息技术、生物医药、高端装备制造、新材料和新能源、新能源汽车、节能环保等五类行业方向分别组织。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省领域赛日期：2024 年 8 月 16 日～31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2.省总决赛。由大赛组委会按照初创企业组和成长企业组分别组织，不分行业领域。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省总决赛时间：2024 年 10 月前完成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04" w:firstLineChars="200"/>
        <w:jc w:val="left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zh-CN"/>
        </w:rPr>
        <w:t>（七）全国赛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bookmarkStart w:id="0" w:name="_Toc12233"/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全国赛由国家大赛组委会办公室负责组织，分为新一代信息技术、高端装备制造、新材料、生物医药和新能源、新能源汽车、节能环保等五类行业方向，采用线下路演和现场答辩方式进行比赛。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时间：2024年10月～11月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val="en-US" w:eastAsia="zh-CN"/>
        </w:rPr>
        <w:t>五、 评选规则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依据中国创新创业大赛组委会办公室制定的统一参赛条件、评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审规则及评选标准，对参赛企业实行严格的参赛资格审查，并建立严格的项目筛选程序及公开透明的选拔机制，遵循“公开、公平、公正、竞争择优”的原则，围绕“技术和产品创新”、“市场前景和竞争”、“管理团队”、“财务及融资”等方面对参赛项目进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评选，筛选出最具市场潜力和投资价值的项目和企业。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val="en-US" w:eastAsia="zh-CN"/>
        </w:rPr>
        <w:t>六、扶持政策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（一）金融对接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赛事举办期间，市内各大银行、创投等金融机构紧密参与各类培训辅导活动，提供金融咨询、融资对接等服务。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（二）获奖补助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按照《中山市人民政府关于印发中山市科技创新强市十五条的通知》（中府〔2024〕1号）文件精神，对获奖项目给予最高100万元补助。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（三）培训辅导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大赛期间组织进行各类培训辅导会，参赛企业可获得大赛开放的导师资源、系统专业的培训资源。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（四）媒体宣传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kern w:val="2"/>
          <w:sz w:val="32"/>
          <w:szCs w:val="32"/>
          <w:lang w:val="en-US" w:eastAsia="zh-CN" w:bidi="ar-SA"/>
        </w:rPr>
        <w:t>合作媒体围绕大赛组织工作，在赛中赛后对优质参赛企业进行宣传与报道。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4444C"/>
    <w:rsid w:val="02E90731"/>
    <w:rsid w:val="03665B25"/>
    <w:rsid w:val="0F880A9E"/>
    <w:rsid w:val="1A9E22CE"/>
    <w:rsid w:val="1C3A0D4B"/>
    <w:rsid w:val="1D166A47"/>
    <w:rsid w:val="1FE33DE9"/>
    <w:rsid w:val="204D730F"/>
    <w:rsid w:val="3F8A1E61"/>
    <w:rsid w:val="4A5A0235"/>
    <w:rsid w:val="6E6005C5"/>
    <w:rsid w:val="7EDB0591"/>
    <w:rsid w:val="7FEFB262"/>
    <w:rsid w:val="DEF6B568"/>
    <w:rsid w:val="EBE2B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2024-07-05T08:33:00Z</dcterms:created>
  <dc:creator>黄雪萍</dc:creator>
  <cp:lastModifiedBy>user</cp:lastModifiedBy>
  <dcterms:modified xsi:type="dcterms:W3CDTF">2024-07-11T10:20:51Z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85855F33F206417BAE04010AA24AB068</vt:lpwstr>
  </property>
</Properties>
</file>