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 w:val="0"/>
          <w:bCs w:val="0"/>
          <w:color w:val="auto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eastAsia" w:ascii="创艺简标宋" w:hAnsi="创艺简标宋" w:eastAsia="创艺简标宋" w:cs="创艺简标宋"/>
          <w:b w:val="0"/>
          <w:bCs w:val="0"/>
          <w:color w:val="auto"/>
          <w:spacing w:val="-6"/>
          <w:sz w:val="44"/>
          <w:szCs w:val="44"/>
          <w:lang w:val="en-US" w:eastAsia="zh-CN"/>
        </w:rPr>
        <w:t>享受研发费用加计扣除优惠政策的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outlineLvl w:val="9"/>
        <w:rPr>
          <w:rFonts w:hint="default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创艺简标宋" w:hAnsi="创艺简标宋" w:eastAsia="创艺简标宋" w:cs="创艺简标宋"/>
          <w:b w:val="0"/>
          <w:bCs w:val="0"/>
          <w:color w:val="auto"/>
          <w:spacing w:val="-6"/>
          <w:sz w:val="44"/>
          <w:szCs w:val="44"/>
          <w:lang w:val="en-US" w:eastAsia="zh-CN"/>
        </w:rPr>
        <w:t>留存备查资料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根据97号公告，企业应保留下列留存备查资料：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　　1．自主、委托、合作研究开发项目计划书和企业有权部门关于自主、委托、合作研究开发项目立项的决议文件；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　　2．自主、委托、合作研究开发专门机构或项目组的编制情况和研发人员名单；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　　3．经科技行政主管部门登记的委托、合作研究开发项目的合同；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　　4．从事研发活动的人员和用于研发活动的仪器、设备、无形资产的费用分配说明（包括工作使用情况记录）；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　　5．集中研发项目研发费用决算表、集中研发项目费用分摊明细情况表和实际分享收益比例等资料；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　　6．“研发支出”辅助账；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　　7．企业如果已取得地市级（含）以上科技行政主管部门出具的鉴定意见，应作为资料留存备查;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　　8．省税务机关规定的其他资料。</w:t>
      </w:r>
    </w:p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/>
    <w:sectPr>
      <w:footerReference r:id="rId3" w:type="default"/>
      <w:pgSz w:w="11906" w:h="16838"/>
      <w:pgMar w:top="2098" w:right="1587" w:bottom="2098" w:left="1587" w:header="1587" w:footer="1701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weight : 400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F5751"/>
    <w:rsid w:val="3F9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市府办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2020-12-08T09:10:00Z</dcterms:created>
  <dc:creator>王辰阳</dc:creator>
  <cp:lastModifiedBy>王辰阳</cp:lastModifiedBy>
  <dcterms:modified xsi:type="dcterms:W3CDTF">2020-12-08T09:11:31Z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