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232"/>
        <w:ind w:left="128"/>
      </w:pPr>
      <w:r>
        <w:rPr/>
        <w:t>中府办规字〔</w:t>
      </w:r>
      <w:r>
        <w:rPr>
          <w:rFonts w:ascii="Times New Roman" w:eastAsia="Times New Roman"/>
        </w:rPr>
        <w:t>2021</w:t>
      </w:r>
      <w:r>
        <w:rPr/>
        <w:t>〕</w:t>
      </w:r>
      <w:r>
        <w:rPr>
          <w:rFonts w:ascii="Times New Roman" w:eastAsia="Times New Roman"/>
        </w:rPr>
        <w:t>1 </w:t>
      </w:r>
      <w:r>
        <w:rPr/>
        <w:t>号</w:t>
      </w:r>
    </w:p>
    <w:p>
      <w:pPr>
        <w:pStyle w:val="BodyText"/>
        <w:spacing w:before="9"/>
        <w:rPr>
          <w:sz w:val="31"/>
        </w:rPr>
      </w:pPr>
    </w:p>
    <w:p>
      <w:pPr>
        <w:pStyle w:val="Title"/>
      </w:pPr>
      <w:r>
        <w:rPr>
          <w:color w:val="FF0000"/>
          <w:spacing w:val="51"/>
          <w:w w:val="65"/>
        </w:rPr>
        <w:t>中山市人民政府办公室文件</w:t>
      </w:r>
    </w:p>
    <w:p>
      <w:pPr>
        <w:pStyle w:val="BodyText"/>
        <w:spacing w:before="505"/>
        <w:ind w:left="431" w:right="572"/>
        <w:jc w:val="center"/>
      </w:pPr>
      <w:r>
        <w:rPr/>
        <w:t>中府办〔</w:t>
      </w:r>
      <w:r>
        <w:rPr>
          <w:rFonts w:ascii="Times New Roman" w:eastAsia="Times New Roman"/>
        </w:rPr>
        <w:t>2021</w:t>
      </w:r>
      <w:r>
        <w:rPr/>
        <w:t>〕</w:t>
      </w:r>
      <w:r>
        <w:rPr>
          <w:rFonts w:ascii="Times New Roman" w:eastAsia="Times New Roman"/>
        </w:rPr>
        <w:t>17 </w:t>
      </w:r>
      <w:r>
        <w:rPr/>
        <w:t>号</w:t>
      </w:r>
    </w:p>
    <w:p>
      <w:pPr>
        <w:pStyle w:val="BodyText"/>
        <w:spacing w:before="6"/>
        <w:rPr>
          <w:sz w:val="16"/>
        </w:rPr>
      </w:pPr>
      <w:r>
        <w:rPr/>
        <w:pict>
          <v:rect style="position:absolute;margin-left:78.349998pt;margin-top:12.516016pt;width:439.35pt;height:1.3pt;mso-position-horizontal-relative:page;mso-position-vertical-relative:paragraph;z-index:-15728640;mso-wrap-distance-left:0;mso-wrap-distance-right:0" filled="true" fillcolor="#ff0000" stroked="false">
            <v:fill type="solid"/>
            <w10:wrap type="topAndBottom"/>
          </v:rect>
        </w:pict>
      </w:r>
    </w:p>
    <w:p>
      <w:pPr>
        <w:pStyle w:val="BodyText"/>
        <w:rPr>
          <w:sz w:val="34"/>
        </w:rPr>
      </w:pPr>
    </w:p>
    <w:p>
      <w:pPr>
        <w:pStyle w:val="BodyText"/>
        <w:spacing w:before="12"/>
        <w:rPr>
          <w:sz w:val="34"/>
        </w:rPr>
      </w:pPr>
    </w:p>
    <w:p>
      <w:pPr>
        <w:pStyle w:val="Heading1"/>
        <w:spacing w:line="244" w:lineRule="auto"/>
        <w:ind w:firstLine="0"/>
        <w:jc w:val="center"/>
      </w:pPr>
      <w:r>
        <w:rPr>
          <w:spacing w:val="-12"/>
        </w:rPr>
        <w:t>中山市人民政府办公室关于印发中山市科技创新创业投资引导基金管理办法</w:t>
      </w:r>
      <w:r>
        <w:rPr>
          <w:spacing w:val="-11"/>
        </w:rPr>
        <w:t>补充规定的通知</w:t>
      </w:r>
    </w:p>
    <w:p>
      <w:pPr>
        <w:pStyle w:val="BodyText"/>
        <w:spacing w:before="2"/>
        <w:rPr>
          <w:sz w:val="54"/>
        </w:rPr>
      </w:pPr>
    </w:p>
    <w:p>
      <w:pPr>
        <w:pStyle w:val="BodyText"/>
        <w:spacing w:line="336" w:lineRule="auto"/>
        <w:ind w:left="128" w:right="255"/>
      </w:pPr>
      <w:r>
        <w:rPr>
          <w:spacing w:val="-8"/>
          <w:w w:val="95"/>
        </w:rPr>
        <w:t>火炬开发区管委会，翠亨新区管委会，各镇政府、街道办事处， </w:t>
      </w:r>
      <w:r>
        <w:rPr>
          <w:spacing w:val="-7"/>
        </w:rPr>
        <w:t>市各有关单位：</w:t>
      </w:r>
    </w:p>
    <w:p>
      <w:pPr>
        <w:pStyle w:val="BodyText"/>
        <w:spacing w:line="336" w:lineRule="auto"/>
        <w:ind w:left="128" w:right="257" w:firstLine="624"/>
      </w:pPr>
      <w:r>
        <w:rPr/>
        <w:drawing>
          <wp:anchor distT="0" distB="0" distL="0" distR="0" allowOverlap="1" layoutInCell="1" locked="0" behindDoc="1" simplePos="0" relativeHeight="487515136">
            <wp:simplePos x="0" y="0"/>
            <wp:positionH relativeFrom="page">
              <wp:posOffset>3732910</wp:posOffset>
            </wp:positionH>
            <wp:positionV relativeFrom="paragraph">
              <wp:posOffset>929439</wp:posOffset>
            </wp:positionV>
            <wp:extent cx="1512185" cy="15121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512185" cy="1512185"/>
                    </a:xfrm>
                    <a:prstGeom prst="rect">
                      <a:avLst/>
                    </a:prstGeom>
                  </pic:spPr>
                </pic:pic>
              </a:graphicData>
            </a:graphic>
          </wp:anchor>
        </w:drawing>
      </w:r>
      <w:r>
        <w:rPr>
          <w:spacing w:val="-8"/>
          <w:w w:val="95"/>
        </w:rPr>
        <w:t>经市政府同意，现将《中山市科技创新创业投资引导基金管 </w:t>
      </w:r>
      <w:r>
        <w:rPr>
          <w:spacing w:val="-9"/>
        </w:rPr>
        <w:t>理办法补充规定》印发给你们，请认真贯彻执行。</w:t>
      </w:r>
    </w:p>
    <w:p>
      <w:pPr>
        <w:pStyle w:val="BodyText"/>
      </w:pPr>
    </w:p>
    <w:p>
      <w:pPr>
        <w:pStyle w:val="BodyText"/>
      </w:pPr>
    </w:p>
    <w:p>
      <w:pPr>
        <w:pStyle w:val="BodyText"/>
        <w:spacing w:before="8"/>
        <w:rPr>
          <w:sz w:val="25"/>
        </w:rPr>
      </w:pPr>
    </w:p>
    <w:p>
      <w:pPr>
        <w:pStyle w:val="BodyText"/>
        <w:ind w:left="2893" w:right="579"/>
        <w:jc w:val="center"/>
      </w:pPr>
      <w:r>
        <w:rPr/>
        <w:t>中山市人民政府办公室</w:t>
      </w:r>
    </w:p>
    <w:p>
      <w:pPr>
        <w:pStyle w:val="BodyText"/>
        <w:spacing w:before="163"/>
        <w:ind w:left="2893" w:right="579"/>
        <w:jc w:val="center"/>
      </w:pPr>
      <w:r>
        <w:rPr>
          <w:rFonts w:ascii="Times New Roman" w:eastAsia="Times New Roman"/>
        </w:rPr>
        <w:t>2021 </w:t>
      </w:r>
      <w:r>
        <w:rPr/>
        <w:t>年 </w:t>
      </w:r>
      <w:r>
        <w:rPr>
          <w:rFonts w:ascii="Times New Roman" w:eastAsia="Times New Roman"/>
        </w:rPr>
        <w:t>6 </w:t>
      </w:r>
      <w:r>
        <w:rPr/>
        <w:t>月 </w:t>
      </w:r>
      <w:r>
        <w:rPr>
          <w:rFonts w:ascii="Times New Roman" w:eastAsia="Times New Roman"/>
        </w:rPr>
        <w:t>8 </w:t>
      </w:r>
      <w:r>
        <w:rPr/>
        <w:t>日</w:t>
      </w:r>
    </w:p>
    <w:p>
      <w:pPr>
        <w:spacing w:after="0"/>
        <w:jc w:val="center"/>
        <w:sectPr>
          <w:footerReference w:type="default" r:id="rId5"/>
          <w:footerReference w:type="even" r:id="rId6"/>
          <w:type w:val="continuous"/>
          <w:pgSz w:w="11910" w:h="16840"/>
          <w:pgMar w:footer="1701" w:top="1580" w:bottom="1900" w:left="1460" w:right="1300"/>
          <w:pgNumType w:start="1"/>
        </w:sect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line="244" w:lineRule="auto" w:before="41"/>
        <w:ind w:left="2780" w:right="1429"/>
      </w:pPr>
      <w:r>
        <w:rPr>
          <w:spacing w:val="-13"/>
        </w:rPr>
        <w:t>中山市科技创新创业投资引导基金</w:t>
      </w:r>
      <w:r>
        <w:rPr>
          <w:spacing w:val="-11"/>
        </w:rPr>
        <w:t>管理办法补充规定</w:t>
      </w:r>
    </w:p>
    <w:p>
      <w:pPr>
        <w:pStyle w:val="BodyText"/>
        <w:spacing w:before="1"/>
        <w:rPr>
          <w:sz w:val="54"/>
        </w:rPr>
      </w:pPr>
    </w:p>
    <w:p>
      <w:pPr>
        <w:pStyle w:val="BodyText"/>
        <w:spacing w:line="336" w:lineRule="auto"/>
        <w:ind w:left="128" w:right="101" w:firstLine="657"/>
      </w:pPr>
      <w:r>
        <w:rPr>
          <w:spacing w:val="-9"/>
          <w:w w:val="99"/>
        </w:rPr>
        <w:t>中山市科技创新创业投资引导基金</w:t>
      </w:r>
      <w:r>
        <w:rPr>
          <w:spacing w:val="-7"/>
          <w:w w:val="99"/>
        </w:rPr>
        <w:t>（</w:t>
      </w:r>
      <w:r>
        <w:rPr>
          <w:spacing w:val="-27"/>
          <w:w w:val="99"/>
        </w:rPr>
        <w:t>以下简称“引导基金”</w:t>
      </w:r>
      <w:r>
        <w:rPr>
          <w:spacing w:val="-7"/>
          <w:w w:val="99"/>
        </w:rPr>
        <w:t>）</w:t>
      </w:r>
      <w:r>
        <w:rPr>
          <w:spacing w:val="-10"/>
        </w:rPr>
        <w:t>增加直接投资的投资形式，现就其管理模式进行补充。</w:t>
      </w:r>
    </w:p>
    <w:p>
      <w:pPr>
        <w:pStyle w:val="BodyText"/>
        <w:spacing w:line="409" w:lineRule="exact"/>
        <w:ind w:left="786"/>
        <w:rPr>
          <w:rFonts w:ascii="黑体" w:eastAsia="黑体" w:hint="eastAsia"/>
        </w:rPr>
      </w:pPr>
      <w:r>
        <w:rPr>
          <w:rFonts w:ascii="黑体" w:eastAsia="黑体" w:hint="eastAsia"/>
        </w:rPr>
        <w:t>一、投资形式</w:t>
      </w:r>
    </w:p>
    <w:p>
      <w:pPr>
        <w:pStyle w:val="BodyText"/>
        <w:spacing w:before="166"/>
        <w:ind w:left="786"/>
      </w:pPr>
      <w:r>
        <w:rPr/>
        <w:t>引导基金增加直接投资的投资形式，运作模式为“引导基金</w:t>
      </w:r>
    </w:p>
    <w:p>
      <w:pPr>
        <w:pStyle w:val="BodyText"/>
        <w:spacing w:before="164"/>
        <w:ind w:left="128"/>
      </w:pPr>
      <w:r>
        <w:rPr/>
        <w:t>——项目”。</w:t>
      </w:r>
    </w:p>
    <w:p>
      <w:pPr>
        <w:pStyle w:val="BodyText"/>
        <w:spacing w:line="336" w:lineRule="auto" w:before="163"/>
        <w:ind w:left="128" w:right="255" w:firstLine="657"/>
        <w:jc w:val="both"/>
      </w:pPr>
      <w:r>
        <w:rPr>
          <w:spacing w:val="-3"/>
          <w:w w:val="99"/>
        </w:rPr>
        <w:t>直接投资（</w:t>
      </w:r>
      <w:r>
        <w:rPr>
          <w:spacing w:val="-23"/>
          <w:w w:val="99"/>
        </w:rPr>
        <w:t>以下简称“直投”</w:t>
      </w:r>
      <w:r>
        <w:rPr>
          <w:spacing w:val="-3"/>
          <w:w w:val="99"/>
        </w:rPr>
        <w:t>）是指引导基金直接对非公开</w:t>
      </w:r>
      <w:r>
        <w:rPr>
          <w:spacing w:val="-8"/>
          <w:w w:val="95"/>
        </w:rPr>
        <w:t>发行公司的股权进行投资，被投公司应属于健康医药、高端装备  制造、人工智能、新材料、节能环保、新一代信息技术、第三代 </w:t>
      </w:r>
      <w:r>
        <w:rPr>
          <w:spacing w:val="-8"/>
        </w:rPr>
        <w:t>半导体等高新技术产业。</w:t>
      </w:r>
    </w:p>
    <w:p>
      <w:pPr>
        <w:pStyle w:val="BodyText"/>
        <w:spacing w:before="1"/>
        <w:ind w:left="786"/>
        <w:rPr>
          <w:rFonts w:ascii="黑体" w:eastAsia="黑体" w:hint="eastAsia"/>
        </w:rPr>
      </w:pPr>
      <w:r>
        <w:rPr>
          <w:rFonts w:ascii="黑体" w:eastAsia="黑体" w:hint="eastAsia"/>
        </w:rPr>
        <w:t>二、投资要求</w:t>
      </w:r>
    </w:p>
    <w:p>
      <w:pPr>
        <w:pStyle w:val="BodyText"/>
        <w:spacing w:line="336" w:lineRule="auto" w:before="164"/>
        <w:ind w:left="128" w:right="255" w:firstLine="614"/>
        <w:jc w:val="both"/>
      </w:pPr>
      <w:r>
        <w:rPr>
          <w:spacing w:val="-13"/>
        </w:rPr>
        <w:t>直投的总投资规模不超过引导基金总规模的 </w:t>
      </w:r>
      <w:r>
        <w:rPr>
          <w:rFonts w:ascii="Times New Roman" w:eastAsia="Times New Roman"/>
          <w:spacing w:val="-10"/>
        </w:rPr>
        <w:t>10%</w:t>
      </w:r>
      <w:r>
        <w:rPr>
          <w:spacing w:val="-7"/>
        </w:rPr>
        <w:t>，每个项目</w:t>
      </w:r>
      <w:r>
        <w:rPr>
          <w:spacing w:val="-8"/>
          <w:w w:val="95"/>
        </w:rPr>
        <w:t>的引导基金出资额占被投资企业的股份不超过该项目注册资本或 </w:t>
      </w:r>
      <w:r>
        <w:rPr>
          <w:spacing w:val="-16"/>
        </w:rPr>
        <w:t>者实际出资额或者总股本的 </w:t>
      </w:r>
      <w:r>
        <w:rPr>
          <w:rFonts w:ascii="Times New Roman" w:eastAsia="Times New Roman"/>
          <w:spacing w:val="-8"/>
        </w:rPr>
        <w:t>30%</w:t>
      </w:r>
      <w:r>
        <w:rPr>
          <w:spacing w:val="-9"/>
        </w:rPr>
        <w:t>，且不为第一大股东。直投项目应为已在中山注册落地的项目。</w:t>
      </w:r>
    </w:p>
    <w:p>
      <w:pPr>
        <w:pStyle w:val="BodyText"/>
        <w:spacing w:line="408" w:lineRule="exact"/>
        <w:ind w:left="786"/>
        <w:rPr>
          <w:rFonts w:ascii="黑体" w:eastAsia="黑体" w:hint="eastAsia"/>
        </w:rPr>
      </w:pPr>
      <w:r>
        <w:rPr>
          <w:rFonts w:ascii="黑体" w:eastAsia="黑体" w:hint="eastAsia"/>
        </w:rPr>
        <w:t>三、投资程序</w:t>
      </w:r>
    </w:p>
    <w:p>
      <w:pPr>
        <w:pStyle w:val="BodyText"/>
        <w:spacing w:line="336" w:lineRule="auto" w:before="166"/>
        <w:ind w:left="128" w:right="255" w:firstLine="614"/>
        <w:jc w:val="both"/>
      </w:pPr>
      <w:r>
        <w:rPr>
          <w:spacing w:val="-7"/>
          <w:w w:val="95"/>
        </w:rPr>
        <w:t>引导基金进行直投，由引导基金管理机构负责征集、对接， </w:t>
      </w:r>
      <w:r>
        <w:rPr>
          <w:spacing w:val="-8"/>
          <w:w w:val="95"/>
        </w:rPr>
        <w:t>收取相关资料，开展尽职调查，组织专家论证，并将尽职调查报  告和专家论证意见报送市科技局。市科技局结合尽职调查报告和</w:t>
      </w:r>
    </w:p>
    <w:p>
      <w:pPr>
        <w:spacing w:after="0" w:line="336" w:lineRule="auto"/>
        <w:jc w:val="both"/>
        <w:sectPr>
          <w:pgSz w:w="11910" w:h="16840"/>
          <w:pgMar w:header="0" w:footer="1701" w:top="1580" w:bottom="1900" w:left="1460" w:right="1300"/>
        </w:sectPr>
      </w:pPr>
    </w:p>
    <w:p>
      <w:pPr>
        <w:pStyle w:val="BodyText"/>
        <w:rPr>
          <w:sz w:val="20"/>
        </w:rPr>
      </w:pPr>
    </w:p>
    <w:p>
      <w:pPr>
        <w:pStyle w:val="BodyText"/>
        <w:spacing w:before="8"/>
        <w:rPr>
          <w:sz w:val="25"/>
        </w:rPr>
      </w:pPr>
    </w:p>
    <w:p>
      <w:pPr>
        <w:pStyle w:val="BodyText"/>
        <w:spacing w:line="336" w:lineRule="auto" w:before="54"/>
        <w:ind w:left="128" w:right="255"/>
        <w:jc w:val="both"/>
      </w:pPr>
      <w:r>
        <w:rPr>
          <w:spacing w:val="-8"/>
          <w:w w:val="95"/>
        </w:rPr>
        <w:t>专家论证意见，形成投资方案建议，上报引导基金投资决策委员  </w:t>
      </w:r>
      <w:r>
        <w:rPr>
          <w:spacing w:val="-7"/>
          <w:w w:val="95"/>
        </w:rPr>
        <w:t>会</w:t>
      </w:r>
      <w:r>
        <w:rPr>
          <w:spacing w:val="-5"/>
          <w:w w:val="95"/>
        </w:rPr>
        <w:t>（</w:t>
      </w:r>
      <w:r>
        <w:rPr>
          <w:spacing w:val="-26"/>
          <w:w w:val="95"/>
        </w:rPr>
        <w:t>以下简称“投决会”</w:t>
      </w:r>
      <w:r>
        <w:rPr>
          <w:spacing w:val="-162"/>
          <w:w w:val="95"/>
        </w:rPr>
        <w:t>）</w:t>
      </w:r>
      <w:r>
        <w:rPr>
          <w:spacing w:val="-8"/>
          <w:w w:val="95"/>
        </w:rPr>
        <w:t>。拟投项目获投决会批准后，由引导基  金管理机构按程序出资，并对投资所形成的企业财产份额等权益 </w:t>
      </w:r>
      <w:r>
        <w:rPr>
          <w:spacing w:val="-7"/>
        </w:rPr>
        <w:t>进行投后管理。</w:t>
      </w:r>
    </w:p>
    <w:p>
      <w:pPr>
        <w:pStyle w:val="BodyText"/>
        <w:spacing w:before="1"/>
        <w:ind w:left="786"/>
        <w:rPr>
          <w:rFonts w:ascii="黑体" w:eastAsia="黑体" w:hint="eastAsia"/>
        </w:rPr>
      </w:pPr>
      <w:r>
        <w:rPr>
          <w:rFonts w:ascii="黑体" w:eastAsia="黑体" w:hint="eastAsia"/>
          <w:spacing w:val="-6"/>
          <w:w w:val="95"/>
        </w:rPr>
        <w:t>四、收益分配</w:t>
      </w:r>
    </w:p>
    <w:p>
      <w:pPr>
        <w:pStyle w:val="BodyText"/>
        <w:spacing w:line="336" w:lineRule="auto" w:before="164"/>
        <w:ind w:left="128" w:right="255" w:firstLine="614"/>
        <w:jc w:val="both"/>
      </w:pPr>
      <w:r>
        <w:rPr>
          <w:spacing w:val="-7"/>
          <w:w w:val="95"/>
        </w:rPr>
        <w:t>引导基金的管理费用参照《关于明确省财政出资基金管理费 </w:t>
      </w:r>
      <w:r>
        <w:rPr>
          <w:spacing w:val="-31"/>
        </w:rPr>
        <w:t>标准的通知》</w:t>
      </w:r>
      <w:r>
        <w:rPr>
          <w:spacing w:val="-3"/>
        </w:rPr>
        <w:t>（</w:t>
      </w:r>
      <w:r>
        <w:rPr>
          <w:spacing w:val="-5"/>
        </w:rPr>
        <w:t>粤财工〔</w:t>
      </w:r>
      <w:r>
        <w:rPr>
          <w:rFonts w:ascii="Times New Roman" w:eastAsia="Times New Roman"/>
          <w:spacing w:val="-4"/>
        </w:rPr>
        <w:t>2017</w:t>
      </w:r>
      <w:r>
        <w:rPr>
          <w:spacing w:val="-3"/>
        </w:rPr>
        <w:t>〕</w:t>
      </w:r>
      <w:r>
        <w:rPr>
          <w:rFonts w:ascii="Times New Roman" w:eastAsia="Times New Roman"/>
          <w:spacing w:val="-3"/>
        </w:rPr>
        <w:t>18</w:t>
      </w:r>
      <w:r>
        <w:rPr>
          <w:rFonts w:ascii="Times New Roman" w:eastAsia="Times New Roman"/>
          <w:spacing w:val="-22"/>
        </w:rPr>
        <w:t> </w:t>
      </w:r>
      <w:r>
        <w:rPr>
          <w:spacing w:val="-3"/>
        </w:rPr>
        <w:t>号</w:t>
      </w:r>
      <w:r>
        <w:rPr>
          <w:spacing w:val="-5"/>
        </w:rPr>
        <w:t>）文件执行，从引导基金收</w:t>
      </w:r>
      <w:r>
        <w:rPr>
          <w:spacing w:val="-7"/>
        </w:rPr>
        <w:t>益或利息中支付：</w:t>
      </w:r>
    </w:p>
    <w:p>
      <w:pPr>
        <w:pStyle w:val="BodyText"/>
        <w:spacing w:line="336" w:lineRule="auto" w:before="1"/>
        <w:ind w:left="128" w:right="257" w:firstLine="614"/>
        <w:jc w:val="both"/>
      </w:pPr>
      <w:r>
        <w:rPr>
          <w:spacing w:val="-7"/>
        </w:rPr>
        <w:t>（</w:t>
      </w:r>
      <w:r>
        <w:rPr>
          <w:spacing w:val="-5"/>
        </w:rPr>
        <w:t>一</w:t>
      </w:r>
      <w:r>
        <w:rPr>
          <w:spacing w:val="-41"/>
        </w:rPr>
        <w:t>）</w:t>
      </w:r>
      <w:r>
        <w:rPr>
          <w:spacing w:val="-16"/>
        </w:rPr>
        <w:t>设立或者参股投资基金：管理费率为 </w:t>
      </w:r>
      <w:r>
        <w:rPr>
          <w:rFonts w:ascii="Times New Roman" w:eastAsia="Times New Roman"/>
          <w:spacing w:val="-11"/>
        </w:rPr>
        <w:t>0.5%</w:t>
      </w:r>
      <w:r>
        <w:rPr>
          <w:spacing w:val="-9"/>
        </w:rPr>
        <w:t>，按年度提取，计提基数为已投放到所投基金的引导基金出资额度。</w:t>
      </w:r>
    </w:p>
    <w:p>
      <w:pPr>
        <w:pStyle w:val="BodyText"/>
        <w:spacing w:line="336" w:lineRule="auto"/>
        <w:ind w:left="128" w:right="260" w:firstLine="614"/>
        <w:jc w:val="both"/>
      </w:pPr>
      <w:r>
        <w:rPr/>
        <w:t>（</w:t>
      </w:r>
      <w:r>
        <w:rPr>
          <w:spacing w:val="-3"/>
        </w:rPr>
        <w:t>二</w:t>
      </w:r>
      <w:r>
        <w:rPr/>
        <w:t>）</w:t>
      </w:r>
      <w:r>
        <w:rPr>
          <w:spacing w:val="-13"/>
        </w:rPr>
        <w:t>直投项目：管理费率为 </w:t>
      </w:r>
      <w:r>
        <w:rPr>
          <w:rFonts w:ascii="Times New Roman" w:eastAsia="Times New Roman"/>
        </w:rPr>
        <w:t>1%</w:t>
      </w:r>
      <w:r>
        <w:rPr>
          <w:spacing w:val="-3"/>
        </w:rPr>
        <w:t>，按年度提取，计提基数</w:t>
      </w:r>
      <w:r>
        <w:rPr>
          <w:spacing w:val="-9"/>
        </w:rPr>
        <w:t>为已投放到被投企业的引导基金出资额度。</w:t>
      </w:r>
    </w:p>
    <w:p>
      <w:pPr>
        <w:pStyle w:val="BodyText"/>
        <w:spacing w:line="336" w:lineRule="auto"/>
        <w:ind w:left="128" w:right="99" w:firstLine="614"/>
      </w:pPr>
      <w:r>
        <w:rPr>
          <w:spacing w:val="-7"/>
        </w:rPr>
        <w:t>引导基金直投项目所产生的收益，按照“先回本后分利”原则，在收回投资成本及支付基金管理费后，年化收益率超过 </w:t>
      </w:r>
      <w:r>
        <w:rPr>
          <w:rFonts w:ascii="Times New Roman" w:hAnsi="Times New Roman" w:eastAsia="Times New Roman"/>
          <w:spacing w:val="-3"/>
        </w:rPr>
        <w:t>5% </w:t>
      </w:r>
      <w:r>
        <w:rPr>
          <w:spacing w:val="-20"/>
          <w:w w:val="95"/>
        </w:rPr>
        <w:t>的部分可进行适当让利。具体分配方案由引导基金管理机构制订，  </w:t>
      </w:r>
      <w:r>
        <w:rPr>
          <w:spacing w:val="-10"/>
        </w:rPr>
        <w:t>获投决会批准后予以实施。</w:t>
      </w:r>
    </w:p>
    <w:p>
      <w:pPr>
        <w:pStyle w:val="BodyText"/>
        <w:spacing w:line="353" w:lineRule="exact"/>
        <w:ind w:left="752"/>
        <w:rPr>
          <w:rFonts w:ascii="黑体" w:eastAsia="黑体" w:hint="eastAsia"/>
        </w:rPr>
      </w:pPr>
      <w:r>
        <w:rPr>
          <w:rFonts w:ascii="黑体" w:eastAsia="黑体" w:hint="eastAsia"/>
        </w:rPr>
        <w:t>五、实施时间</w:t>
      </w:r>
    </w:p>
    <w:p>
      <w:pPr>
        <w:pStyle w:val="BodyText"/>
        <w:spacing w:line="336" w:lineRule="auto" w:before="162"/>
        <w:ind w:left="128" w:right="253" w:firstLine="624"/>
        <w:jc w:val="both"/>
      </w:pPr>
      <w:r>
        <w:rPr>
          <w:spacing w:val="-19"/>
        </w:rPr>
        <w:t>本补充规定自 </w:t>
      </w:r>
      <w:r>
        <w:rPr>
          <w:rFonts w:ascii="Times New Roman" w:eastAsia="Times New Roman"/>
          <w:spacing w:val="-4"/>
        </w:rPr>
        <w:t>2021 </w:t>
      </w:r>
      <w:r>
        <w:rPr>
          <w:spacing w:val="-46"/>
        </w:rPr>
        <w:t>年 </w:t>
      </w:r>
      <w:r>
        <w:rPr>
          <w:rFonts w:ascii="Times New Roman" w:eastAsia="Times New Roman"/>
        </w:rPr>
        <w:t>6 </w:t>
      </w:r>
      <w:r>
        <w:rPr>
          <w:spacing w:val="-46"/>
        </w:rPr>
        <w:t>月 </w:t>
      </w:r>
      <w:r>
        <w:rPr>
          <w:rFonts w:ascii="Times New Roman" w:eastAsia="Times New Roman"/>
        </w:rPr>
        <w:t>8 </w:t>
      </w:r>
      <w:r>
        <w:rPr>
          <w:spacing w:val="-21"/>
        </w:rPr>
        <w:t>日起实施，有效期与《中山市科</w:t>
      </w:r>
      <w:r>
        <w:rPr>
          <w:spacing w:val="-15"/>
        </w:rPr>
        <w:t>技创新创业投资引导基金管理办法》</w:t>
      </w:r>
      <w:r>
        <w:rPr>
          <w:spacing w:val="-3"/>
        </w:rPr>
        <w:t>（</w:t>
      </w:r>
      <w:r>
        <w:rPr>
          <w:spacing w:val="-5"/>
        </w:rPr>
        <w:t>中府办〔</w:t>
      </w:r>
      <w:r>
        <w:rPr>
          <w:rFonts w:ascii="Times New Roman" w:eastAsia="Times New Roman"/>
          <w:spacing w:val="-4"/>
        </w:rPr>
        <w:t>2018</w:t>
      </w:r>
      <w:r>
        <w:rPr>
          <w:spacing w:val="-5"/>
        </w:rPr>
        <w:t>〕</w:t>
      </w:r>
      <w:r>
        <w:rPr>
          <w:rFonts w:ascii="Times New Roman" w:eastAsia="Times New Roman"/>
          <w:spacing w:val="-3"/>
        </w:rPr>
        <w:t>24 </w:t>
      </w:r>
      <w:r>
        <w:rPr>
          <w:spacing w:val="-3"/>
        </w:rPr>
        <w:t>号</w:t>
      </w:r>
      <w:r>
        <w:rPr>
          <w:spacing w:val="-5"/>
        </w:rPr>
        <w:t>）</w:t>
      </w:r>
      <w:r>
        <w:rPr/>
        <w:t>一</w:t>
      </w:r>
      <w:r>
        <w:rPr>
          <w:spacing w:val="-4"/>
        </w:rPr>
        <w:t>致。</w:t>
      </w:r>
    </w:p>
    <w:p>
      <w:pPr>
        <w:spacing w:after="0" w:line="336" w:lineRule="auto"/>
        <w:jc w:val="both"/>
        <w:sectPr>
          <w:pgSz w:w="11910" w:h="16840"/>
          <w:pgMar w:header="0" w:footer="1701" w:top="1580" w:bottom="1900" w:left="1460" w:right="13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3"/>
        </w:rPr>
      </w:pPr>
    </w:p>
    <w:p>
      <w:pPr>
        <w:pStyle w:val="BodyText"/>
        <w:spacing w:before="54"/>
        <w:ind w:left="128"/>
      </w:pPr>
      <w:r>
        <w:rPr>
          <w:rFonts w:ascii="黑体" w:eastAsia="黑体" w:hint="eastAsia"/>
        </w:rPr>
        <w:t>公开方式</w:t>
      </w:r>
      <w:r>
        <w:rPr/>
        <w:t>：主动公开</w:t>
      </w:r>
    </w:p>
    <w:p>
      <w:pPr>
        <w:pStyle w:val="BodyText"/>
        <w:rPr>
          <w:sz w:val="20"/>
        </w:rPr>
      </w:pPr>
    </w:p>
    <w:p>
      <w:pPr>
        <w:pStyle w:val="BodyText"/>
        <w:spacing w:before="8"/>
        <w:rPr>
          <w:sz w:val="23"/>
        </w:rPr>
      </w:pPr>
      <w:r>
        <w:rPr/>
        <w:pict>
          <v:shape style="position:absolute;margin-left:74pt;margin-top:17.355625pt;width:447.3pt;height:.1pt;mso-position-horizontal-relative:page;mso-position-vertical-relative:paragraph;z-index:-15727616;mso-wrap-distance-left:0;mso-wrap-distance-right:0" coordorigin="1480,347" coordsize="8946,0" path="m1480,347l10426,347e" filled="false" stroked="true" strokeweight=".48pt" strokecolor="#000000">
            <v:path arrowok="t"/>
            <v:stroke dashstyle="solid"/>
            <w10:wrap type="topAndBottom"/>
          </v:shape>
        </w:pict>
      </w:r>
    </w:p>
    <w:p>
      <w:pPr>
        <w:tabs>
          <w:tab w:pos="5939" w:val="left" w:leader="none"/>
        </w:tabs>
        <w:spacing w:before="30" w:after="92"/>
        <w:ind w:left="395" w:right="0" w:firstLine="0"/>
        <w:jc w:val="left"/>
        <w:rPr>
          <w:sz w:val="28"/>
        </w:rPr>
      </w:pPr>
      <w:r>
        <w:rPr>
          <w:spacing w:val="-13"/>
          <w:sz w:val="28"/>
        </w:rPr>
        <w:t>中</w:t>
      </w:r>
      <w:r>
        <w:rPr>
          <w:spacing w:val="-15"/>
          <w:sz w:val="28"/>
        </w:rPr>
        <w:t>山</w:t>
      </w:r>
      <w:r>
        <w:rPr>
          <w:spacing w:val="-13"/>
          <w:sz w:val="28"/>
        </w:rPr>
        <w:t>市人</w:t>
      </w:r>
      <w:r>
        <w:rPr>
          <w:spacing w:val="-15"/>
          <w:sz w:val="28"/>
        </w:rPr>
        <w:t>民</w:t>
      </w:r>
      <w:r>
        <w:rPr>
          <w:spacing w:val="-13"/>
          <w:sz w:val="28"/>
        </w:rPr>
        <w:t>政府</w:t>
      </w:r>
      <w:r>
        <w:rPr>
          <w:spacing w:val="-15"/>
          <w:sz w:val="28"/>
        </w:rPr>
        <w:t>办</w:t>
      </w:r>
      <w:r>
        <w:rPr>
          <w:spacing w:val="-13"/>
          <w:sz w:val="28"/>
        </w:rPr>
        <w:t>公室</w:t>
      </w:r>
      <w:r>
        <w:rPr>
          <w:spacing w:val="-15"/>
          <w:sz w:val="28"/>
        </w:rPr>
        <w:t>秘</w:t>
      </w:r>
      <w:r>
        <w:rPr>
          <w:spacing w:val="-13"/>
          <w:sz w:val="28"/>
        </w:rPr>
        <w:t>书一</w:t>
      </w:r>
      <w:r>
        <w:rPr>
          <w:sz w:val="28"/>
        </w:rPr>
        <w:t>科</w:t>
        <w:tab/>
      </w:r>
      <w:r>
        <w:rPr>
          <w:rFonts w:ascii="Times New Roman" w:eastAsia="Times New Roman"/>
          <w:spacing w:val="-6"/>
          <w:sz w:val="28"/>
        </w:rPr>
        <w:t>2021</w:t>
      </w:r>
      <w:r>
        <w:rPr>
          <w:rFonts w:ascii="Times New Roman" w:eastAsia="Times New Roman"/>
          <w:spacing w:val="-7"/>
          <w:sz w:val="28"/>
        </w:rPr>
        <w:t> </w:t>
      </w:r>
      <w:r>
        <w:rPr>
          <w:sz w:val="28"/>
        </w:rPr>
        <w:t>年</w:t>
      </w:r>
      <w:r>
        <w:rPr>
          <w:spacing w:val="-87"/>
          <w:sz w:val="28"/>
        </w:rPr>
        <w:t> </w:t>
      </w:r>
      <w:r>
        <w:rPr>
          <w:rFonts w:ascii="Times New Roman" w:eastAsia="Times New Roman"/>
          <w:sz w:val="28"/>
        </w:rPr>
        <w:t>6</w:t>
      </w:r>
      <w:r>
        <w:rPr>
          <w:rFonts w:ascii="Times New Roman" w:eastAsia="Times New Roman"/>
          <w:spacing w:val="-8"/>
          <w:sz w:val="28"/>
        </w:rPr>
        <w:t> </w:t>
      </w:r>
      <w:r>
        <w:rPr>
          <w:sz w:val="28"/>
        </w:rPr>
        <w:t>月</w:t>
      </w:r>
      <w:r>
        <w:rPr>
          <w:spacing w:val="-88"/>
          <w:sz w:val="28"/>
        </w:rPr>
        <w:t> </w:t>
      </w:r>
      <w:r>
        <w:rPr>
          <w:rFonts w:ascii="Times New Roman" w:eastAsia="Times New Roman"/>
          <w:spacing w:val="-5"/>
          <w:sz w:val="28"/>
        </w:rPr>
        <w:t>10</w:t>
      </w:r>
      <w:r>
        <w:rPr>
          <w:rFonts w:ascii="Times New Roman" w:eastAsia="Times New Roman"/>
          <w:spacing w:val="-6"/>
          <w:sz w:val="28"/>
        </w:rPr>
        <w:t> </w:t>
      </w:r>
      <w:r>
        <w:rPr>
          <w:spacing w:val="-13"/>
          <w:sz w:val="28"/>
        </w:rPr>
        <w:t>日</w:t>
      </w:r>
      <w:r>
        <w:rPr>
          <w:spacing w:val="-15"/>
          <w:sz w:val="28"/>
        </w:rPr>
        <w:t>印</w:t>
      </w:r>
      <w:r>
        <w:rPr>
          <w:sz w:val="28"/>
        </w:rPr>
        <w:t>发</w:t>
      </w:r>
    </w:p>
    <w:p>
      <w:pPr>
        <w:pStyle w:val="BodyText"/>
        <w:spacing w:line="20" w:lineRule="exact"/>
        <w:ind w:left="15"/>
        <w:rPr>
          <w:sz w:val="2"/>
        </w:rPr>
      </w:pPr>
      <w:r>
        <w:rPr>
          <w:sz w:val="2"/>
        </w:rPr>
        <w:pict>
          <v:group style="width:447.3pt;height:.5pt;mso-position-horizontal-relative:char;mso-position-vertical-relative:line" coordorigin="0,0" coordsize="8946,10">
            <v:line style="position:absolute" from="0,5" to="8946,5" stroked="true" strokeweight=".48pt" strokecolor="#000000">
              <v:stroke dashstyle="solid"/>
            </v:line>
          </v:group>
        </w:pict>
      </w:r>
      <w:r>
        <w:rPr>
          <w:sz w:val="2"/>
        </w:rPr>
      </w:r>
    </w:p>
    <w:sectPr>
      <w:pgSz w:w="11910" w:h="16840"/>
      <w:pgMar w:header="0" w:footer="1701" w:top="1580" w:bottom="1900" w:left="146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1.399994pt;margin-top:745.855835pt;width:38.8pt;height:16.2pt;mso-position-horizontal-relative:page;mso-position-vertical-relative:page;z-index:-15801856" type="#_x0000_t202" filled="false" stroked="false">
          <v:textbox inset="0,0,0,0">
            <w:txbxContent>
              <w:p>
                <w:pPr>
                  <w:spacing w:line="323" w:lineRule="exact" w:before="0"/>
                  <w:ind w:left="20" w:right="0" w:firstLine="0"/>
                  <w:jc w:val="left"/>
                  <w:rPr>
                    <w:sz w:val="28"/>
                  </w:rPr>
                </w:pPr>
                <w:r>
                  <w:rPr>
                    <w:sz w:val="28"/>
                  </w:rPr>
                  <w:t>- </w:t>
                </w:r>
                <w:r>
                  <w:rPr/>
                  <w:fldChar w:fldCharType="begin"/>
                </w:r>
                <w:r>
                  <w:rPr>
                    <w:sz w:val="28"/>
                  </w:rPr>
                  <w:instrText> PAGE </w:instrText>
                </w:r>
                <w:r>
                  <w:rPr/>
                  <w:fldChar w:fldCharType="separate"/>
                </w:r>
                <w:r>
                  <w:rPr/>
                  <w:t>1</w:t>
                </w:r>
                <w:r>
                  <w:rPr/>
                  <w:fldChar w:fldCharType="end"/>
                </w:r>
                <w:r>
                  <w:rPr>
                    <w:sz w:val="28"/>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440002pt;margin-top:745.855835pt;width:38.8pt;height:16.2pt;mso-position-horizontal-relative:page;mso-position-vertical-relative:page;z-index:-15801344" type="#_x0000_t202" filled="false" stroked="false">
          <v:textbox inset="0,0,0,0">
            <w:txbxContent>
              <w:p>
                <w:pPr>
                  <w:spacing w:line="323" w:lineRule="exact" w:before="0"/>
                  <w:ind w:left="20" w:right="0" w:firstLine="0"/>
                  <w:jc w:val="left"/>
                  <w:rPr>
                    <w:sz w:val="28"/>
                  </w:rPr>
                </w:pPr>
                <w:r>
                  <w:rPr>
                    <w:sz w:val="28"/>
                  </w:rPr>
                  <w:t>- </w:t>
                </w:r>
                <w:r>
                  <w:rPr/>
                  <w:fldChar w:fldCharType="begin"/>
                </w:r>
                <w:r>
                  <w:rPr>
                    <w:sz w:val="28"/>
                  </w:rPr>
                  <w:instrText> PAGE </w:instrText>
                </w:r>
                <w:r>
                  <w:rPr/>
                  <w:fldChar w:fldCharType="separate"/>
                </w:r>
                <w:r>
                  <w:rPr/>
                  <w:t>2</w:t>
                </w:r>
                <w:r>
                  <w:rPr/>
                  <w:fldChar w:fldCharType="end"/>
                </w:r>
                <w:r>
                  <w:rPr>
                    <w:sz w:val="28"/>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sz w:val="32"/>
      <w:szCs w:val="32"/>
      <w:lang w:val="en-US" w:eastAsia="zh-CN" w:bidi="ar-SA"/>
    </w:rPr>
  </w:style>
  <w:style w:styleId="Heading1" w:type="paragraph">
    <w:name w:val="Heading 1"/>
    <w:basedOn w:val="Normal"/>
    <w:uiPriority w:val="1"/>
    <w:qFormat/>
    <w:pPr>
      <w:ind w:left="855" w:right="1001" w:hanging="1498"/>
      <w:outlineLvl w:val="1"/>
    </w:pPr>
    <w:rPr>
      <w:rFonts w:ascii="宋体" w:hAnsi="宋体" w:eastAsia="宋体" w:cs="宋体"/>
      <w:sz w:val="44"/>
      <w:szCs w:val="44"/>
      <w:lang w:val="en-US" w:eastAsia="zh-CN" w:bidi="ar-SA"/>
    </w:rPr>
  </w:style>
  <w:style w:styleId="Title" w:type="paragraph">
    <w:name w:val="Title"/>
    <w:basedOn w:val="Normal"/>
    <w:uiPriority w:val="1"/>
    <w:qFormat/>
    <w:pPr>
      <w:ind w:left="431" w:right="579"/>
      <w:jc w:val="center"/>
    </w:pPr>
    <w:rPr>
      <w:rFonts w:ascii="微软雅黑" w:hAnsi="微软雅黑" w:eastAsia="微软雅黑" w:cs="微软雅黑"/>
      <w:b/>
      <w:bCs/>
      <w:sz w:val="96"/>
      <w:szCs w:val="96"/>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2021-12-31T08:27:27Z</dcterms:created>
  <dcterms:modified xsi:type="dcterms:W3CDTF">2021-12-31T08:27:27Z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