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u w:val="none"/>
          <w:bdr w:val="none" w:color="auto" w:sz="0" w:space="0"/>
          <w:shd w:val="clear" w:fill="FFFFFF"/>
        </w:rPr>
        <w:t>《中山市引进高端科研机构专项事业费使用暂行办法》政策解读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570" w:lineRule="atLeast"/>
        <w:ind w:left="0" w:right="0" w:firstLine="630" w:firstLineChars="200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我局制定了规范性文件《中山市引进高端科研机构专项事业费使用暂行办法》，于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2018年6月22日起实施。根据《中山市行政机关规范性文件管理规定》（中府〔2015〕14号）的相关规定，现就文件解读如下：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   </w:t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一、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文件的制定背景说明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   为了进一步优化科研院所布局，引进高端科研机构，充分利用各高校、研究院的优秀科技资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源，在加快学校科技资源引进的同时，创造良好的科研发展环境，更好地服务区域经济社会发展，提升自主创新能力，市科技局申请设立了引进高端科研机构专项事业费。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   现根据相关法律法规要求，结合工作实际需要，中山市科学技术局起草《中山市引进高端科研机构专项事业费使用暂行办法》，规范中山市引进高端科研机构专项事业费的使用与管理。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  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二、 文件主要内容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 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中山市引进高端科研机构专项事业费是指市财政预算安排，由市科学技术局（以下简称“市科技局”）统筹管理，用于支持引进高端科研机构的日常运营，组织开展中山市重大科技活动等的专项事业费。《办法》的起草围绕专项事业费管理，明确了专项事业费使用范围、分配办法、申请拨付方式、监督管理要求等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    《办法》分为五章，共十五条，包括：总则、使用范围和分配办法、申请审批拨付及监督管理、信用管理和附则：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（一） 使用范围和分配办法。《办法》明确了专项事业费支持范围包括：高端科研机构运营补助、重大科技活动补助。并对专项事业费使用绩效目标进行了要求。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（二） 申请审批拨付及监督管理。《办法》明确了专项事业费的申请流程、审批流程、财务管理方式，预算要求以及资金拨付后的绩效管理方式和要求。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70" w:lineRule="atLeast"/>
        <w:ind w:left="0" w:right="0" w:firstLine="6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（三） 信用管理。《办法》明确了专项事业费管理依据《中山市科技局科技项目相关责任主体信用管理办法（试行）》（中山科发〔2016〕88号）和《中山市科技诚信红黑榜公布管理实施细则》（中山科发〔2016〕87号）等有关规定进行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莫艺欣</cp:lastModifiedBy>
  <dcterms:modified xsi:type="dcterms:W3CDTF">2021-07-12T01:35:14Z</dcterms:modified>
  <dc:title>《中山市引进高端科研机构专项事业费使用暂行办法》政策解读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