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《中山市工程技术研究中心认定管理办法》解读（</w:t>
      </w:r>
      <w:r>
        <w:rPr>
          <w:rFonts w:hint="eastAsia" w:ascii="新宋体" w:hAnsi="新宋体" w:eastAsia="新宋体" w:cs="新宋体"/>
          <w:sz w:val="44"/>
          <w:szCs w:val="44"/>
          <w:lang w:eastAsia="zh-CN"/>
        </w:rPr>
        <w:t>中山市科学技术局</w:t>
      </w:r>
      <w:r>
        <w:rPr>
          <w:rFonts w:hint="eastAsia" w:ascii="新宋体" w:hAnsi="新宋体" w:eastAsia="新宋体" w:cs="新宋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新宋体" w:hAnsi="新宋体" w:eastAsia="新宋体" w:cs="新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修订了规范性文件《中山市工程技术研究中心认定管理办法》，于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日起实施。根据《中山市行政机关规范性文件管理规定》（中府[2015]14号）的相关规定，现就文件解读如下：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一、文件的修订背景说明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结合往年市科技局中山市工程技术研究中心（以下简称“工程中心”）认定管理情况，为进一步加强工程中心管理，加大工程化研发平台建设力度，促进技术创新、推动科技成果转化及产业化的示范和带动作用，我局对市科技局工程中心认定管理政策进行了修订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（一）所要解决的主要问题：规范工程中心认定管理,增强产业技术创新能力和市场竞争力。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（二）文件所要确立的主要制度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明确工程中心的分类、认定程序、过程管理、考核方式和信用管理。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（三）修订内容：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1、进一步简化、明确了工程中心认定条件，按照工程中心的分类，调整了企业类和公益类工程中心认定的条件。详见第六条。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2、为进一步推动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工程中心高质量发展，提升了对工程中心研发基础条件的要求。详见第六条。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3、加强对工程中心实施动态管理。对已认定的工程中心，每2年进行一次考核评估。明确了具体的考核办法，考核结果分为A、B、C三类。详见第十三、十四条。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（四）增加了工程中心信用管理条款，对提供虚假材料的，查实后取消其工程中心资格，按有关规定进行处理。详见第十五条。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0694"/>
    <w:rsid w:val="153F3075"/>
    <w:rsid w:val="2C1F0694"/>
    <w:rsid w:val="30A45279"/>
    <w:rsid w:val="38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2019-09-30T07:43:00Z</dcterms:created>
  <dc:creator>蓥殷</dc:creator>
  <cp:lastModifiedBy>肖朋</cp:lastModifiedBy>
  <dcterms:modified xsi:type="dcterms:W3CDTF">2019-11-11T07:23:00Z</dcterms:modified>
  <dc:title>《中山市工程技术研究中心认定管理办法》解读（中山市科学技术局）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