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创艺简标宋" w:hAnsi="宋体" w:eastAsia="创艺简标宋" w:cs="宋体"/>
          <w:bCs/>
          <w:color w:val="auto"/>
          <w:spacing w:val="-6"/>
          <w:kern w:val="0"/>
          <w:sz w:val="44"/>
          <w:szCs w:val="44"/>
          <w:u w:val="none"/>
        </w:rPr>
      </w:pPr>
      <w:r>
        <w:rPr>
          <w:rFonts w:hint="eastAsia" w:ascii="创艺简标宋" w:hAnsi="宋体" w:eastAsia="创艺简标宋" w:cs="宋体"/>
          <w:bCs/>
          <w:color w:val="auto"/>
          <w:spacing w:val="-6"/>
          <w:kern w:val="0"/>
          <w:sz w:val="44"/>
          <w:szCs w:val="44"/>
          <w:u w:val="none"/>
        </w:rPr>
        <w:t>中山市科技信贷风险准备金管理办法</w:t>
      </w:r>
    </w:p>
    <w:p>
      <w:pPr>
        <w:rPr>
          <w:rFonts w:hint="eastAsia" w:ascii="仿宋_GB2312" w:hAnsi="仿宋_GB2312" w:eastAsia="仿宋_GB2312" w:cs="仿宋_GB2312"/>
          <w:color w:val="auto"/>
          <w:kern w:val="0"/>
          <w:sz w:val="32"/>
          <w:szCs w:val="32"/>
          <w:u w:val="none"/>
          <w:lang w:val="en-US" w:eastAsia="zh-CN"/>
        </w:rPr>
      </w:pPr>
      <w:r>
        <w:rPr>
          <w:rFonts w:hint="eastAsia"/>
          <w:u w:val="none"/>
          <w:lang w:val="en-US" w:eastAsia="zh-CN"/>
        </w:rPr>
        <w:t xml:space="preserve">                           </w:t>
      </w:r>
      <w:r>
        <w:rPr>
          <w:rFonts w:hint="eastAsia" w:ascii="仿宋_GB2312" w:hAnsi="仿宋_GB2312" w:eastAsia="仿宋_GB2312" w:cs="仿宋_GB2312"/>
          <w:color w:val="auto"/>
          <w:kern w:val="0"/>
          <w:sz w:val="32"/>
          <w:szCs w:val="32"/>
          <w:u w:val="none"/>
          <w:lang w:val="en-US" w:eastAsia="zh-CN"/>
        </w:rPr>
        <w:t xml:space="preserve">  (征求意见稿）</w:t>
      </w:r>
    </w:p>
    <w:p>
      <w:pPr>
        <w:rPr>
          <w:rFonts w:hint="eastAsia"/>
          <w:u w:val="none"/>
          <w:lang w:val="en-US" w:eastAsia="zh-CN"/>
        </w:rPr>
      </w:pPr>
    </w:p>
    <w:p>
      <w:pPr>
        <w:spacing w:before="156" w:beforeLines="50" w:after="156" w:afterLines="50" w:line="574" w:lineRule="exact"/>
        <w:jc w:val="center"/>
        <w:rPr>
          <w:rFonts w:eastAsia="仿宋_GB2312" w:cs="黑体"/>
          <w:b/>
          <w:color w:val="auto"/>
          <w:sz w:val="32"/>
          <w:szCs w:val="32"/>
          <w:u w:val="none"/>
        </w:rPr>
      </w:pPr>
      <w:r>
        <w:rPr>
          <w:rFonts w:hint="eastAsia" w:ascii="黑体" w:hAnsi="黑体" w:eastAsia="黑体" w:cs="黑体"/>
          <w:b/>
          <w:color w:val="auto"/>
          <w:sz w:val="32"/>
          <w:szCs w:val="32"/>
          <w:u w:val="none"/>
        </w:rPr>
        <w:t>第一章  总则</w:t>
      </w:r>
    </w:p>
    <w:p>
      <w:pPr>
        <w:spacing w:line="574" w:lineRule="exact"/>
        <w:ind w:firstLine="627" w:firstLineChars="196"/>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28"/>
          <w:u w:val="none"/>
        </w:rPr>
        <w:t xml:space="preserve">第一条  </w:t>
      </w:r>
      <w:r>
        <w:rPr>
          <w:rFonts w:hint="eastAsia" w:ascii="仿宋_GB2312" w:hAnsi="仿宋_GB2312" w:eastAsia="仿宋_GB2312" w:cs="仿宋_GB2312"/>
          <w:color w:val="auto"/>
          <w:kern w:val="0"/>
          <w:sz w:val="32"/>
          <w:szCs w:val="32"/>
          <w:u w:val="none"/>
        </w:rPr>
        <w:t>根据广东省科学技术厅《关于发展普惠性科技金融的若干意见》</w:t>
      </w:r>
      <w:r>
        <w:rPr>
          <w:rFonts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rPr>
        <w:t>粤科规财字〔</w:t>
      </w:r>
      <w:r>
        <w:rPr>
          <w:rFonts w:ascii="仿宋_GB2312" w:hAnsi="仿宋_GB2312" w:eastAsia="仿宋_GB2312" w:cs="仿宋_GB2312"/>
          <w:color w:val="auto"/>
          <w:kern w:val="0"/>
          <w:sz w:val="32"/>
          <w:szCs w:val="32"/>
          <w:u w:val="none"/>
        </w:rPr>
        <w:t>2017</w:t>
      </w:r>
      <w:r>
        <w:rPr>
          <w:rFonts w:hint="eastAsia" w:ascii="仿宋_GB2312" w:hAnsi="仿宋_GB2312" w:eastAsia="仿宋_GB2312" w:cs="仿宋_GB2312"/>
          <w:color w:val="auto"/>
          <w:kern w:val="0"/>
          <w:sz w:val="32"/>
          <w:szCs w:val="32"/>
          <w:u w:val="none"/>
        </w:rPr>
        <w:t>〕</w:t>
      </w:r>
      <w:r>
        <w:rPr>
          <w:rFonts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rPr>
        <w:t>号</w:t>
      </w:r>
      <w:r>
        <w:rPr>
          <w:rFonts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rPr>
        <w:t>，为进一步扩大科技金融的普惠面，充分发挥财政资金的引导和杠杆效应，</w:t>
      </w:r>
      <w:r>
        <w:rPr>
          <w:rFonts w:hint="eastAsia" w:ascii="仿宋_GB2312" w:hAnsi="仿宋_GB2312" w:eastAsia="仿宋_GB2312" w:cs="仿宋_GB2312"/>
          <w:bCs/>
          <w:color w:val="auto"/>
          <w:kern w:val="0"/>
          <w:sz w:val="32"/>
          <w:szCs w:val="32"/>
          <w:u w:val="none"/>
        </w:rPr>
        <w:t>规范中山市科技信贷风险准备金的使用</w:t>
      </w:r>
      <w:r>
        <w:rPr>
          <w:rFonts w:hint="eastAsia" w:ascii="仿宋_GB2312" w:hAnsi="仿宋_GB2312" w:eastAsia="仿宋_GB2312" w:cs="仿宋_GB2312"/>
          <w:color w:val="auto"/>
          <w:kern w:val="0"/>
          <w:sz w:val="32"/>
          <w:szCs w:val="32"/>
          <w:u w:val="none"/>
        </w:rPr>
        <w:t>，制定本办法。</w:t>
      </w:r>
    </w:p>
    <w:p>
      <w:pPr>
        <w:widowControl/>
        <w:spacing w:line="574" w:lineRule="exact"/>
        <w:ind w:right="25" w:rightChars="12" w:firstLine="640"/>
        <w:rPr>
          <w:rFonts w:ascii="仿宋" w:hAnsi="仿宋" w:eastAsia="仿宋_GB2312"/>
          <w:color w:val="auto"/>
          <w:kern w:val="0"/>
          <w:sz w:val="32"/>
          <w:szCs w:val="28"/>
          <w:u w:val="none"/>
        </w:rPr>
      </w:pPr>
      <w:r>
        <w:rPr>
          <w:rFonts w:hint="eastAsia" w:ascii="黑体" w:hAnsi="黑体" w:eastAsia="黑体" w:cs="黑体"/>
          <w:color w:val="auto"/>
          <w:kern w:val="0"/>
          <w:sz w:val="32"/>
          <w:szCs w:val="28"/>
          <w:u w:val="none"/>
        </w:rPr>
        <w:t xml:space="preserve">第二条  </w:t>
      </w:r>
      <w:r>
        <w:rPr>
          <w:rFonts w:hint="eastAsia" w:ascii="仿宋" w:hAnsi="仿宋" w:eastAsia="仿宋_GB2312" w:cs="仿宋"/>
          <w:color w:val="auto"/>
          <w:kern w:val="0"/>
          <w:sz w:val="32"/>
          <w:szCs w:val="28"/>
          <w:u w:val="none"/>
        </w:rPr>
        <w:t>本办法所称的中山市科技信贷风险准备金（下称“风险准备金”）是指由广东省科学技术厅、中山市科学技术局（下称“市科技局”）、中山火炬高技术产业开发区管理委员会（下称“火炬区管委会”）财政性资金设立，用于推动中山市科技金融工作的专项资金。</w:t>
      </w:r>
    </w:p>
    <w:p>
      <w:pPr>
        <w:widowControl/>
        <w:spacing w:line="574" w:lineRule="exact"/>
        <w:ind w:right="25" w:rightChars="12" w:firstLine="640" w:firstLineChars="200"/>
        <w:rPr>
          <w:rFonts w:ascii="仿宋" w:hAnsi="仿宋" w:eastAsia="仿宋_GB2312" w:cs="仿宋"/>
          <w:color w:val="auto"/>
          <w:kern w:val="0"/>
          <w:sz w:val="32"/>
          <w:szCs w:val="28"/>
          <w:u w:val="none"/>
        </w:rPr>
      </w:pPr>
      <w:r>
        <w:rPr>
          <w:rFonts w:hint="eastAsia" w:ascii="黑体" w:hAnsi="黑体" w:eastAsia="黑体" w:cs="黑体"/>
          <w:color w:val="auto"/>
          <w:kern w:val="0"/>
          <w:sz w:val="32"/>
          <w:szCs w:val="28"/>
          <w:u w:val="none"/>
        </w:rPr>
        <w:t xml:space="preserve">第三条  </w:t>
      </w:r>
      <w:r>
        <w:rPr>
          <w:rFonts w:hint="eastAsia" w:ascii="仿宋" w:hAnsi="仿宋" w:eastAsia="仿宋_GB2312" w:cs="仿宋"/>
          <w:color w:val="auto"/>
          <w:kern w:val="0"/>
          <w:sz w:val="32"/>
          <w:szCs w:val="28"/>
          <w:u w:val="none"/>
        </w:rPr>
        <w:t>市科技局和火炬区管委会共同遴选符合条件的科技支行作为风险准备金分担机制的科技信贷风险准备金授信合作银行（下称“合作银行”）。已获得银行监管部门批准的科技支行可申请成为合作银行。</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28"/>
          <w:u w:val="none"/>
        </w:rPr>
        <w:t>第四条</w:t>
      </w:r>
      <w:r>
        <w:rPr>
          <w:rFonts w:hint="eastAsia" w:ascii="仿宋_GB2312" w:hAnsi="仿宋_GB2312" w:eastAsia="仿宋_GB2312" w:cs="仿宋_GB2312"/>
          <w:color w:val="auto"/>
          <w:kern w:val="0"/>
          <w:sz w:val="32"/>
          <w:szCs w:val="32"/>
          <w:u w:val="none"/>
        </w:rPr>
        <w:t xml:space="preserve">  本办法所称不良贷款指银行参照银监会贷款分类办法确定的关注（逾期贷款）、次级、可疑、损失类贷款。</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办法所称不良贷款净损失是指银行为科技型中小微企业提供贷款，在贷款本金、应付当期利息到期后获得贷款的企业未能按合同约定向银行偿还贷款本金及利息，并最后产生贷款本金逾期或不良贷款，银行依据相关合同完成所有法律规定的追偿手续后仍无法收回的部分，</w:t>
      </w:r>
      <w:r>
        <w:rPr>
          <w:rFonts w:hint="eastAsia" w:ascii="仿宋_GB2312" w:hAnsi="仿宋_GB2312" w:eastAsia="仿宋_GB2312" w:cs="仿宋_GB2312"/>
          <w:color w:val="auto"/>
          <w:kern w:val="0"/>
          <w:sz w:val="32"/>
          <w:szCs w:val="32"/>
          <w:u w:val="none"/>
          <w:shd w:val="clear" w:color="auto" w:fill="auto"/>
        </w:rPr>
        <w:t>包括逾期贷款本金、利息、罚息及诉讼</w:t>
      </w:r>
      <w:r>
        <w:rPr>
          <w:rFonts w:hint="eastAsia" w:ascii="仿宋_GB2312" w:hAnsi="仿宋_GB2312" w:eastAsia="仿宋_GB2312" w:cs="仿宋_GB2312"/>
          <w:color w:val="auto"/>
          <w:kern w:val="0"/>
          <w:sz w:val="32"/>
          <w:szCs w:val="32"/>
          <w:u w:val="none"/>
          <w:shd w:val="clear" w:color="auto" w:fill="auto"/>
          <w:lang w:eastAsia="zh-CN"/>
        </w:rPr>
        <w:t>费</w:t>
      </w:r>
      <w:r>
        <w:rPr>
          <w:rFonts w:hint="eastAsia" w:ascii="仿宋_GB2312" w:hAnsi="仿宋_GB2312" w:eastAsia="仿宋_GB2312" w:cs="仿宋_GB2312"/>
          <w:color w:val="auto"/>
          <w:kern w:val="0"/>
          <w:sz w:val="32"/>
          <w:szCs w:val="32"/>
          <w:u w:val="none"/>
          <w:shd w:val="clear" w:color="auto" w:fill="auto"/>
        </w:rPr>
        <w:t>。</w:t>
      </w:r>
    </w:p>
    <w:p>
      <w:pPr>
        <w:spacing w:line="574" w:lineRule="exact"/>
        <w:jc w:val="center"/>
        <w:rPr>
          <w:rFonts w:ascii="黑体" w:hAnsi="黑体" w:eastAsia="黑体" w:cs="黑体"/>
          <w:color w:val="auto"/>
          <w:kern w:val="0"/>
          <w:sz w:val="32"/>
          <w:szCs w:val="32"/>
          <w:u w:val="none"/>
        </w:rPr>
      </w:pPr>
    </w:p>
    <w:p>
      <w:pPr>
        <w:spacing w:before="156" w:beforeLines="50" w:after="156" w:afterLines="50" w:line="574" w:lineRule="exact"/>
        <w:jc w:val="center"/>
        <w:rPr>
          <w:rFonts w:ascii="黑体" w:hAnsi="黑体" w:eastAsia="黑体" w:cs="黑体"/>
          <w:b/>
          <w:color w:val="auto"/>
          <w:sz w:val="32"/>
          <w:szCs w:val="32"/>
          <w:u w:val="none"/>
        </w:rPr>
      </w:pPr>
      <w:r>
        <w:rPr>
          <w:rFonts w:hint="eastAsia" w:ascii="黑体" w:hAnsi="黑体" w:eastAsia="黑体" w:cs="黑体"/>
          <w:b/>
          <w:color w:val="auto"/>
          <w:sz w:val="32"/>
          <w:szCs w:val="32"/>
          <w:u w:val="none"/>
        </w:rPr>
        <w:t>第二章  风险准备金的设立及管理</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第五条</w:t>
      </w:r>
      <w:r>
        <w:rPr>
          <w:rFonts w:hint="eastAsia" w:ascii="仿宋_GB2312" w:hAnsi="仿宋_GB2312" w:eastAsia="仿宋_GB2312" w:cs="仿宋_GB2312"/>
          <w:color w:val="auto"/>
          <w:kern w:val="0"/>
          <w:sz w:val="32"/>
          <w:szCs w:val="32"/>
          <w:u w:val="none"/>
        </w:rPr>
        <w:t xml:space="preserve">  风险准备金由省财政、市财政、区财政专项资金出资，出资比例如下：</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（一）省科技厅出资</w:t>
      </w:r>
      <w:r>
        <w:rPr>
          <w:rFonts w:hint="eastAsia" w:ascii="仿宋_GB2312" w:hAnsi="仿宋_GB2312" w:eastAsia="仿宋_GB2312" w:cs="仿宋_GB2312"/>
          <w:color w:val="auto"/>
          <w:kern w:val="0"/>
          <w:sz w:val="32"/>
          <w:szCs w:val="32"/>
          <w:u w:val="none"/>
          <w:lang w:val="en-US" w:eastAsia="zh-CN"/>
        </w:rPr>
        <w:t>0.2亿</w:t>
      </w:r>
      <w:r>
        <w:rPr>
          <w:rFonts w:hint="eastAsia" w:ascii="仿宋_GB2312" w:hAnsi="仿宋_GB2312" w:eastAsia="仿宋_GB2312" w:cs="仿宋_GB2312"/>
          <w:color w:val="auto"/>
          <w:kern w:val="0"/>
          <w:sz w:val="32"/>
          <w:szCs w:val="32"/>
          <w:u w:val="none"/>
        </w:rPr>
        <w:t>元；</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（二）市科技局出资</w:t>
      </w:r>
      <w:r>
        <w:rPr>
          <w:rFonts w:hint="eastAsia" w:ascii="仿宋_GB2312" w:hAnsi="仿宋_GB2312" w:eastAsia="仿宋_GB2312" w:cs="仿宋_GB2312"/>
          <w:color w:val="auto"/>
          <w:kern w:val="0"/>
          <w:sz w:val="32"/>
          <w:szCs w:val="32"/>
          <w:u w:val="none"/>
          <w:lang w:val="en-US" w:eastAsia="zh-CN"/>
        </w:rPr>
        <w:t>1.75亿</w:t>
      </w:r>
      <w:r>
        <w:rPr>
          <w:rFonts w:hint="eastAsia" w:ascii="仿宋_GB2312" w:hAnsi="仿宋_GB2312" w:eastAsia="仿宋_GB2312" w:cs="仿宋_GB2312"/>
          <w:color w:val="auto"/>
          <w:kern w:val="0"/>
          <w:sz w:val="32"/>
          <w:szCs w:val="32"/>
          <w:u w:val="none"/>
        </w:rPr>
        <w:t>元，火炬区管委会出资1.05亿元。</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视风险准备金运作情况或上级要求，本风险准备金可增加资金规模。</w:t>
      </w:r>
    </w:p>
    <w:p>
      <w:pPr>
        <w:widowControl/>
        <w:shd w:val="clear" w:color="auto" w:fill="auto"/>
        <w:spacing w:line="574" w:lineRule="exact"/>
        <w:ind w:right="25" w:rightChars="12" w:firstLine="640" w:firstLineChars="200"/>
        <w:rPr>
          <w:rFonts w:hint="eastAsia" w:ascii="黑体" w:hAnsi="黑体" w:eastAsia="黑体" w:cs="黑体"/>
          <w:color w:val="auto"/>
          <w:kern w:val="0"/>
          <w:sz w:val="32"/>
          <w:szCs w:val="32"/>
          <w:u w:val="none"/>
        </w:rPr>
      </w:pPr>
      <w:r>
        <w:rPr>
          <w:rFonts w:hint="eastAsia" w:ascii="仿宋_GB2312" w:hAnsi="仿宋_GB2312" w:eastAsia="仿宋_GB2312" w:cs="仿宋_GB2312"/>
          <w:color w:val="auto"/>
          <w:sz w:val="32"/>
          <w:szCs w:val="32"/>
          <w:highlight w:val="none"/>
          <w:u w:val="none"/>
        </w:rPr>
        <w:t>中山火炬开发区符合条件的科技型中小微企业</w:t>
      </w:r>
      <w:r>
        <w:rPr>
          <w:rFonts w:hint="eastAsia" w:ascii="仿宋_GB2312" w:hAnsi="仿宋_GB2312" w:eastAsia="仿宋_GB2312" w:cs="仿宋_GB2312"/>
          <w:color w:val="auto"/>
          <w:sz w:val="32"/>
          <w:szCs w:val="32"/>
          <w:highlight w:val="none"/>
          <w:u w:val="none"/>
          <w:lang w:eastAsia="zh-CN"/>
        </w:rPr>
        <w:t>可</w:t>
      </w:r>
      <w:r>
        <w:rPr>
          <w:rFonts w:hint="eastAsia" w:ascii="仿宋_GB2312" w:hAnsi="仿宋_GB2312" w:eastAsia="仿宋_GB2312" w:cs="仿宋_GB2312"/>
          <w:color w:val="auto"/>
          <w:sz w:val="32"/>
          <w:szCs w:val="32"/>
          <w:highlight w:val="none"/>
          <w:u w:val="none"/>
        </w:rPr>
        <w:t>按风险准备金总规模的</w:t>
      </w:r>
      <w:r>
        <w:rPr>
          <w:rFonts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val="en-US" w:eastAsia="zh-CN"/>
        </w:rPr>
        <w:t>5</w:t>
      </w:r>
      <w:r>
        <w:rPr>
          <w:rFonts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予以支持。</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第六条</w:t>
      </w:r>
      <w:r>
        <w:rPr>
          <w:rFonts w:hint="eastAsia" w:ascii="仿宋_GB2312" w:hAnsi="仿宋_GB2312" w:eastAsia="仿宋_GB2312" w:cs="仿宋_GB2312"/>
          <w:color w:val="auto"/>
          <w:kern w:val="0"/>
          <w:sz w:val="32"/>
          <w:szCs w:val="32"/>
          <w:u w:val="none"/>
        </w:rPr>
        <w:t xml:space="preserve">  市科技局和火炬区管委会负责如下工作：</w:t>
      </w:r>
    </w:p>
    <w:p>
      <w:pPr>
        <w:widowControl/>
        <w:shd w:val="clear" w:color="auto" w:fill="auto"/>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一</w:t>
      </w:r>
      <w:r>
        <w:rPr>
          <w:rFonts w:hint="eastAsia" w:ascii="仿宋_GB2312" w:hAnsi="仿宋_GB2312" w:eastAsia="仿宋_GB2312" w:cs="仿宋_GB2312"/>
          <w:color w:val="auto"/>
          <w:kern w:val="0"/>
          <w:sz w:val="32"/>
          <w:szCs w:val="32"/>
          <w:highlight w:val="none"/>
          <w:u w:val="none"/>
        </w:rPr>
        <w:t>）负责入池企业的遴选，审核企业提供的申报材料；</w:t>
      </w:r>
    </w:p>
    <w:p>
      <w:pPr>
        <w:widowControl/>
        <w:shd w:val="clear" w:color="auto" w:fill="auto"/>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二</w:t>
      </w:r>
      <w:r>
        <w:rPr>
          <w:rFonts w:hint="eastAsia" w:ascii="仿宋_GB2312" w:hAnsi="仿宋_GB2312" w:eastAsia="仿宋_GB2312" w:cs="仿宋_GB2312"/>
          <w:color w:val="auto"/>
          <w:kern w:val="0"/>
          <w:sz w:val="32"/>
          <w:szCs w:val="32"/>
          <w:highlight w:val="none"/>
          <w:u w:val="none"/>
        </w:rPr>
        <w:t>）统筹</w:t>
      </w:r>
      <w:r>
        <w:rPr>
          <w:rFonts w:hint="eastAsia" w:ascii="仿宋_GB2312" w:hAnsi="仿宋_GB2312" w:eastAsia="仿宋_GB2312" w:cs="仿宋_GB2312"/>
          <w:color w:val="auto"/>
          <w:kern w:val="0"/>
          <w:sz w:val="32"/>
          <w:szCs w:val="32"/>
          <w:highlight w:val="none"/>
          <w:u w:val="none"/>
          <w:lang w:eastAsia="zh-CN"/>
        </w:rPr>
        <w:t>入池企业</w:t>
      </w:r>
      <w:r>
        <w:rPr>
          <w:rFonts w:hint="eastAsia" w:ascii="仿宋_GB2312" w:hAnsi="仿宋_GB2312" w:eastAsia="仿宋_GB2312" w:cs="仿宋_GB2312"/>
          <w:color w:val="auto"/>
          <w:kern w:val="0"/>
          <w:sz w:val="32"/>
          <w:szCs w:val="32"/>
          <w:highlight w:val="none"/>
          <w:u w:val="none"/>
        </w:rPr>
        <w:t>贷款</w:t>
      </w:r>
      <w:r>
        <w:rPr>
          <w:rFonts w:hint="eastAsia" w:ascii="仿宋_GB2312" w:hAnsi="仿宋_GB2312" w:eastAsia="仿宋_GB2312" w:cs="仿宋_GB2312"/>
          <w:color w:val="auto"/>
          <w:kern w:val="0"/>
          <w:sz w:val="32"/>
          <w:szCs w:val="32"/>
          <w:highlight w:val="none"/>
          <w:u w:val="none"/>
          <w:lang w:eastAsia="zh-CN"/>
        </w:rPr>
        <w:t>情况和还款情况</w:t>
      </w:r>
      <w:r>
        <w:rPr>
          <w:rFonts w:hint="eastAsia" w:ascii="仿宋_GB2312" w:hAnsi="仿宋_GB2312" w:eastAsia="仿宋_GB2312" w:cs="仿宋_GB2312"/>
          <w:color w:val="auto"/>
          <w:kern w:val="0"/>
          <w:sz w:val="32"/>
          <w:szCs w:val="32"/>
          <w:highlight w:val="none"/>
          <w:u w:val="none"/>
        </w:rPr>
        <w:t>；</w:t>
      </w:r>
    </w:p>
    <w:p>
      <w:pPr>
        <w:widowControl/>
        <w:shd w:val="clear" w:color="auto" w:fill="auto"/>
        <w:spacing w:line="574" w:lineRule="exact"/>
        <w:ind w:right="25" w:rightChars="12" w:firstLine="640" w:firstLineChars="200"/>
        <w:rPr>
          <w:rFonts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（三）管理监督风险准备金的使用、发放、核算以及补偿等；</w:t>
      </w:r>
    </w:p>
    <w:p>
      <w:pPr>
        <w:widowControl/>
        <w:shd w:val="clear" w:color="auto" w:fill="auto"/>
        <w:spacing w:line="574" w:lineRule="exact"/>
        <w:ind w:right="25" w:rightChars="12" w:firstLine="640" w:firstLineChars="200"/>
        <w:rPr>
          <w:rFonts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（四）其他相关工作。</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第七条</w:t>
      </w:r>
      <w:r>
        <w:rPr>
          <w:rFonts w:hint="eastAsia" w:ascii="仿宋_GB2312" w:hAnsi="仿宋_GB2312" w:eastAsia="仿宋_GB2312" w:cs="仿宋_GB2312"/>
          <w:color w:val="auto"/>
          <w:kern w:val="0"/>
          <w:sz w:val="32"/>
          <w:szCs w:val="32"/>
          <w:u w:val="none"/>
        </w:rPr>
        <w:t xml:space="preserve">  委托专业管理机构对风险准备金进行管理，风险准备金的受托管理机构（下称“受托管理机构”）负责如下工作：</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（一）与合作银行签订合作协议，开立风险准备金母、子账户，并负责账号管理及资金核算管理；</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（二）办理具体贷款项目的风险准备金手续；</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（三）根据本办法，办理担保资金补偿、债务追索以及核销担保损失等具体事项。</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第八条</w:t>
      </w:r>
      <w:r>
        <w:rPr>
          <w:rFonts w:hint="eastAsia" w:ascii="仿宋_GB2312" w:hAnsi="仿宋_GB2312" w:eastAsia="仿宋_GB2312" w:cs="仿宋_GB2312"/>
          <w:color w:val="auto"/>
          <w:kern w:val="0"/>
          <w:sz w:val="32"/>
          <w:szCs w:val="32"/>
          <w:u w:val="none"/>
        </w:rPr>
        <w:t xml:space="preserve">  合作银行负责如下工作：</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（一）作为风险准备金子账户的开立银行；</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（二）提供风险准备金</w:t>
      </w:r>
      <w:r>
        <w:rPr>
          <w:rFonts w:ascii="仿宋_GB2312" w:hAnsi="仿宋_GB2312" w:eastAsia="仿宋_GB2312" w:cs="仿宋_GB2312"/>
          <w:color w:val="auto"/>
          <w:kern w:val="0"/>
          <w:sz w:val="32"/>
          <w:szCs w:val="32"/>
          <w:highlight w:val="none"/>
          <w:u w:val="none"/>
          <w:shd w:val="clear" w:color="auto" w:fill="auto"/>
        </w:rPr>
        <w:t>20</w:t>
      </w:r>
      <w:r>
        <w:rPr>
          <w:rFonts w:hint="eastAsia" w:ascii="仿宋_GB2312" w:hAnsi="仿宋_GB2312" w:eastAsia="仿宋_GB2312" w:cs="仿宋_GB2312"/>
          <w:color w:val="auto"/>
          <w:kern w:val="0"/>
          <w:sz w:val="32"/>
          <w:szCs w:val="32"/>
          <w:highlight w:val="none"/>
          <w:u w:val="none"/>
          <w:shd w:val="clear" w:color="auto" w:fill="auto"/>
        </w:rPr>
        <w:t>倍</w:t>
      </w:r>
      <w:r>
        <w:rPr>
          <w:rFonts w:hint="eastAsia" w:ascii="仿宋_GB2312" w:hAnsi="仿宋_GB2312" w:eastAsia="仿宋_GB2312" w:cs="仿宋_GB2312"/>
          <w:color w:val="auto"/>
          <w:kern w:val="0"/>
          <w:sz w:val="32"/>
          <w:szCs w:val="32"/>
          <w:u w:val="none"/>
        </w:rPr>
        <w:t>数额的实际贷款</w:t>
      </w:r>
      <w:r>
        <w:rPr>
          <w:rFonts w:hint="eastAsia" w:ascii="仿宋_GB2312" w:hAnsi="仿宋_GB2312" w:eastAsia="仿宋_GB2312" w:cs="仿宋_GB2312"/>
          <w:color w:val="auto"/>
          <w:kern w:val="0"/>
          <w:sz w:val="32"/>
          <w:szCs w:val="32"/>
          <w:u w:val="none"/>
          <w:lang w:eastAsia="zh-CN"/>
        </w:rPr>
        <w:t>情况</w:t>
      </w:r>
      <w:r>
        <w:rPr>
          <w:rFonts w:hint="eastAsia" w:ascii="仿宋_GB2312" w:hAnsi="仿宋_GB2312" w:eastAsia="仿宋_GB2312" w:cs="仿宋_GB2312"/>
          <w:color w:val="auto"/>
          <w:kern w:val="0"/>
          <w:sz w:val="32"/>
          <w:szCs w:val="32"/>
          <w:u w:val="none"/>
        </w:rPr>
        <w:t>；</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（三）审查、发放和管理风险准备金入池企业贷款；</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（四）负责风险准备金入池企业不良贷款的追收，落实诉讼，经法院或仲裁机构正式立案后，办理风险准备金补偿手续；</w:t>
      </w:r>
      <w:r>
        <w:rPr>
          <w:rFonts w:ascii="仿宋_GB2312" w:hAnsi="仿宋_GB2312" w:eastAsia="仿宋_GB2312" w:cs="仿宋_GB2312"/>
          <w:color w:val="auto"/>
          <w:kern w:val="0"/>
          <w:sz w:val="32"/>
          <w:szCs w:val="32"/>
          <w:u w:val="none"/>
        </w:rPr>
        <w:t xml:space="preserve"> </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（五）根据本办法，按相关比例、程序扣划、分账、审核、监督风险准备金账户；</w:t>
      </w:r>
    </w:p>
    <w:p>
      <w:pPr>
        <w:spacing w:line="574" w:lineRule="exact"/>
        <w:ind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（六）</w:t>
      </w:r>
      <w:r>
        <w:rPr>
          <w:rFonts w:hint="eastAsia" w:ascii="仿宋_GB2312" w:hAnsi="仿宋_GB2312" w:eastAsia="仿宋_GB2312" w:cs="仿宋_GB2312"/>
          <w:snapToGrid w:val="0"/>
          <w:color w:val="auto"/>
          <w:kern w:val="0"/>
          <w:sz w:val="32"/>
          <w:szCs w:val="32"/>
          <w:u w:val="none"/>
        </w:rPr>
        <w:t>制定详细的科技信贷业务操作规程，确保为入池企业提供快捷、便利的金融服务，</w:t>
      </w:r>
      <w:r>
        <w:rPr>
          <w:rFonts w:hint="eastAsia" w:ascii="仿宋_GB2312" w:hAnsi="仿宋_GB2312" w:eastAsia="仿宋_GB2312" w:cs="仿宋_GB2312"/>
          <w:color w:val="auto"/>
          <w:kern w:val="0"/>
          <w:sz w:val="32"/>
          <w:szCs w:val="32"/>
          <w:u w:val="none"/>
        </w:rPr>
        <w:t>给予风险准备金存管和入池企业存贷款优惠利率支持；</w:t>
      </w:r>
    </w:p>
    <w:p>
      <w:pPr>
        <w:spacing w:line="574" w:lineRule="exact"/>
        <w:ind w:firstLine="640" w:firstLineChars="200"/>
        <w:rPr>
          <w:rFonts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color w:val="auto"/>
          <w:kern w:val="0"/>
          <w:sz w:val="32"/>
          <w:szCs w:val="32"/>
          <w:u w:val="none"/>
        </w:rPr>
        <w:t>（七）对贷款项目资金使用进行追踪和监控。</w:t>
      </w:r>
    </w:p>
    <w:p>
      <w:pPr>
        <w:widowControl/>
        <w:spacing w:line="574" w:lineRule="exact"/>
        <w:ind w:right="25" w:rightChars="12" w:firstLine="640" w:firstLineChars="200"/>
        <w:rPr>
          <w:rFonts w:ascii="仿宋_GB2312" w:hAnsi="仿宋_GB2312" w:eastAsia="仿宋_GB2312" w:cs="仿宋_GB2312"/>
          <w:snapToGrid w:val="0"/>
          <w:color w:val="auto"/>
          <w:kern w:val="0"/>
          <w:sz w:val="32"/>
          <w:szCs w:val="32"/>
          <w:u w:val="none"/>
        </w:rPr>
      </w:pPr>
      <w:r>
        <w:rPr>
          <w:rFonts w:hint="eastAsia" w:ascii="黑体" w:hAnsi="黑体" w:eastAsia="黑体" w:cs="黑体"/>
          <w:color w:val="auto"/>
          <w:kern w:val="0"/>
          <w:sz w:val="32"/>
          <w:szCs w:val="32"/>
          <w:u w:val="none"/>
        </w:rPr>
        <w:t xml:space="preserve">第九条  </w:t>
      </w:r>
      <w:r>
        <w:rPr>
          <w:rFonts w:hint="eastAsia" w:ascii="仿宋_GB2312" w:hAnsi="仿宋_GB2312" w:eastAsia="仿宋_GB2312" w:cs="仿宋_GB2312"/>
          <w:snapToGrid w:val="0"/>
          <w:color w:val="auto"/>
          <w:kern w:val="0"/>
          <w:sz w:val="32"/>
          <w:szCs w:val="32"/>
          <w:u w:val="none"/>
        </w:rPr>
        <w:t>受托管理机构设立风险准备金母、子两个账户，母账户存放出资的全额风险准备金；子账户作为实际开展风险准备金项目的担保金；受托管理机构存入、补充和处置风险准备金前，应向市科技局和火炬区管委会备案。</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 xml:space="preserve">第十条  </w:t>
      </w:r>
      <w:r>
        <w:rPr>
          <w:rFonts w:hint="eastAsia" w:ascii="仿宋_GB2312" w:hAnsi="仿宋_GB2312" w:eastAsia="仿宋_GB2312" w:cs="仿宋_GB2312"/>
          <w:snapToGrid w:val="0"/>
          <w:color w:val="auto"/>
          <w:kern w:val="0"/>
          <w:sz w:val="32"/>
          <w:szCs w:val="32"/>
          <w:u w:val="none"/>
        </w:rPr>
        <w:t>风险准备金子账户管理方式如下：</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（一）受托管理机构在合作银行设立风险准备金子账户，每季度根据上季度风险准备金项目业务贷款发生额度，按</w:t>
      </w:r>
      <w:r>
        <w:rPr>
          <w:rFonts w:ascii="仿宋_GB2312" w:hAnsi="仿宋_GB2312" w:eastAsia="仿宋_GB2312" w:cs="仿宋_GB2312"/>
          <w:color w:val="auto"/>
          <w:kern w:val="0"/>
          <w:sz w:val="32"/>
          <w:szCs w:val="32"/>
          <w:u w:val="none"/>
        </w:rPr>
        <w:t>5%</w:t>
      </w:r>
      <w:r>
        <w:rPr>
          <w:rFonts w:hint="eastAsia" w:ascii="仿宋_GB2312" w:hAnsi="仿宋_GB2312" w:eastAsia="仿宋_GB2312" w:cs="仿宋_GB2312"/>
          <w:color w:val="auto"/>
          <w:kern w:val="0"/>
          <w:sz w:val="32"/>
          <w:szCs w:val="32"/>
          <w:u w:val="none"/>
        </w:rPr>
        <w:t>的比例核算是否补充风险准备金，并相应从风险准备金母账户拨付至子账户。</w:t>
      </w:r>
    </w:p>
    <w:p>
      <w:pPr>
        <w:widowControl/>
        <w:spacing w:line="574" w:lineRule="exact"/>
        <w:ind w:right="25" w:rightChars="12" w:firstLine="640" w:firstLineChars="200"/>
        <w:rPr>
          <w:rFonts w:hint="eastAsia" w:ascii="黑体" w:hAnsi="黑体" w:eastAsia="黑体" w:cs="黑体"/>
          <w:color w:val="auto"/>
          <w:kern w:val="0"/>
          <w:sz w:val="32"/>
          <w:szCs w:val="32"/>
          <w:u w:val="none"/>
        </w:rPr>
      </w:pPr>
      <w:r>
        <w:rPr>
          <w:rFonts w:hint="eastAsia" w:ascii="仿宋_GB2312" w:hAnsi="仿宋_GB2312" w:eastAsia="仿宋_GB2312" w:cs="仿宋_GB2312"/>
          <w:color w:val="auto"/>
          <w:kern w:val="0"/>
          <w:sz w:val="32"/>
          <w:szCs w:val="32"/>
          <w:u w:val="none"/>
        </w:rPr>
        <w:t>（二）每季度按合作银行实际放款情况以补充或回拨方式调整子账户的风险准备金，各合作银行的风险准备金总额以风险准备金出资总规模为限。</w:t>
      </w:r>
    </w:p>
    <w:p>
      <w:pPr>
        <w:widowControl/>
        <w:spacing w:line="574" w:lineRule="exact"/>
        <w:ind w:right="25" w:rightChars="12" w:firstLine="640" w:firstLineChars="200"/>
        <w:rPr>
          <w:rFonts w:ascii="黑体" w:hAnsi="黑体" w:eastAsia="黑体" w:cs="黑体"/>
          <w:color w:val="auto"/>
          <w:sz w:val="32"/>
          <w:szCs w:val="28"/>
          <w:u w:val="none"/>
        </w:rPr>
      </w:pPr>
      <w:r>
        <w:rPr>
          <w:rFonts w:hint="eastAsia" w:ascii="黑体" w:hAnsi="黑体" w:eastAsia="黑体" w:cs="黑体"/>
          <w:color w:val="auto"/>
          <w:kern w:val="0"/>
          <w:sz w:val="32"/>
          <w:szCs w:val="32"/>
          <w:u w:val="none"/>
        </w:rPr>
        <w:t>第十一条</w:t>
      </w:r>
      <w:r>
        <w:rPr>
          <w:rFonts w:hint="eastAsia" w:ascii="仿宋_GB2312" w:hAnsi="仿宋_GB2312" w:eastAsia="仿宋_GB2312" w:cs="仿宋_GB2312"/>
          <w:color w:val="auto"/>
          <w:kern w:val="0"/>
          <w:sz w:val="32"/>
          <w:szCs w:val="32"/>
          <w:u w:val="none"/>
        </w:rPr>
        <w:t xml:space="preserve">  风险准备金专款专用，单独列账，受托管理机构指定专人管理风险准备金母、子账户和会计账务。</w:t>
      </w:r>
    </w:p>
    <w:p>
      <w:pPr>
        <w:spacing w:before="156" w:beforeLines="50" w:after="156" w:afterLines="50" w:line="574" w:lineRule="exact"/>
        <w:jc w:val="center"/>
        <w:rPr>
          <w:rFonts w:hint="eastAsia" w:ascii="黑体" w:hAnsi="黑体" w:eastAsia="黑体" w:cs="黑体"/>
          <w:b/>
          <w:color w:val="auto"/>
          <w:sz w:val="32"/>
          <w:szCs w:val="32"/>
          <w:u w:val="none"/>
        </w:rPr>
      </w:pPr>
    </w:p>
    <w:p>
      <w:pPr>
        <w:spacing w:before="156" w:beforeLines="50" w:after="156" w:afterLines="50" w:line="574" w:lineRule="exact"/>
        <w:jc w:val="center"/>
        <w:rPr>
          <w:rFonts w:eastAsia="仿宋_GB2312" w:cs="黑体"/>
          <w:b/>
          <w:color w:val="auto"/>
          <w:sz w:val="32"/>
          <w:szCs w:val="28"/>
          <w:u w:val="none"/>
        </w:rPr>
      </w:pPr>
      <w:r>
        <w:rPr>
          <w:rFonts w:hint="eastAsia" w:ascii="黑体" w:hAnsi="黑体" w:eastAsia="黑体" w:cs="黑体"/>
          <w:b/>
          <w:color w:val="auto"/>
          <w:sz w:val="32"/>
          <w:szCs w:val="32"/>
          <w:u w:val="none"/>
        </w:rPr>
        <w:t>第三章  风险准备金的扶持对象</w:t>
      </w:r>
    </w:p>
    <w:p>
      <w:pPr>
        <w:widowControl/>
        <w:spacing w:line="574" w:lineRule="exact"/>
        <w:ind w:right="25" w:rightChars="12" w:firstLine="614" w:firstLineChars="192"/>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第十二条</w:t>
      </w:r>
      <w:r>
        <w:rPr>
          <w:rFonts w:hint="eastAsia" w:ascii="仿宋_GB2312" w:hAnsi="仿宋_GB2312" w:eastAsia="仿宋_GB2312" w:cs="仿宋_GB2312"/>
          <w:color w:val="auto"/>
          <w:kern w:val="0"/>
          <w:sz w:val="32"/>
          <w:szCs w:val="32"/>
          <w:u w:val="none"/>
        </w:rPr>
        <w:t xml:space="preserve"> 风险准备金</w:t>
      </w:r>
      <w:r>
        <w:rPr>
          <w:rFonts w:hint="eastAsia" w:ascii="仿宋_GB2312" w:hAnsi="仿宋_GB2312" w:eastAsia="仿宋_GB2312" w:cs="仿宋_GB2312"/>
          <w:color w:val="auto"/>
          <w:kern w:val="0"/>
          <w:sz w:val="32"/>
          <w:szCs w:val="32"/>
          <w:u w:val="none"/>
          <w:lang w:eastAsia="zh-CN"/>
        </w:rPr>
        <w:t>重点</w:t>
      </w:r>
      <w:r>
        <w:rPr>
          <w:rFonts w:hint="eastAsia" w:ascii="仿宋_GB2312" w:hAnsi="仿宋_GB2312" w:eastAsia="仿宋_GB2312" w:cs="仿宋_GB2312"/>
          <w:color w:val="auto"/>
          <w:kern w:val="0"/>
          <w:sz w:val="32"/>
          <w:szCs w:val="32"/>
          <w:u w:val="none"/>
        </w:rPr>
        <w:t>扶持在中山市内注册的科技型中小微企业，</w:t>
      </w:r>
      <w:r>
        <w:rPr>
          <w:rFonts w:hint="eastAsia" w:ascii="仿宋_GB2312" w:hAnsi="仿宋_GB2312" w:eastAsia="仿宋_GB2312" w:cs="仿宋_GB2312"/>
          <w:color w:val="auto"/>
          <w:kern w:val="0"/>
          <w:sz w:val="32"/>
          <w:szCs w:val="32"/>
          <w:u w:val="none"/>
          <w:shd w:val="clear" w:color="auto" w:fill="auto"/>
        </w:rPr>
        <w:t>包括</w:t>
      </w:r>
      <w:r>
        <w:rPr>
          <w:rFonts w:hint="eastAsia" w:ascii="仿宋_GB2312" w:hAnsi="仿宋_GB2312" w:eastAsia="仿宋_GB2312" w:cs="仿宋_GB2312"/>
          <w:color w:val="auto"/>
          <w:kern w:val="0"/>
          <w:sz w:val="32"/>
          <w:szCs w:val="32"/>
          <w:u w:val="none"/>
          <w:shd w:val="clear" w:color="auto" w:fill="auto"/>
          <w:lang w:eastAsia="zh-CN"/>
        </w:rPr>
        <w:t>领军企业、市级创新标杆企业、评价入库科技型中小企业、</w:t>
      </w:r>
      <w:r>
        <w:rPr>
          <w:rFonts w:hint="eastAsia" w:ascii="仿宋_GB2312" w:hAnsi="仿宋_GB2312" w:eastAsia="仿宋_GB2312" w:cs="仿宋_GB2312"/>
          <w:color w:val="auto"/>
          <w:kern w:val="0"/>
          <w:sz w:val="32"/>
          <w:szCs w:val="32"/>
          <w:u w:val="none"/>
          <w:shd w:val="clear" w:color="auto" w:fill="auto"/>
        </w:rPr>
        <w:t>高新技术企业及其后备企业、上市挂牌企业及其后备企业、创新型科技企业、承担市级以上科技计划项目的企业、拥有专利成果或其他研发活动证明材料的企业。</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第十三条</w:t>
      </w:r>
      <w:r>
        <w:rPr>
          <w:rFonts w:hint="eastAsia" w:ascii="仿宋_GB2312" w:hAnsi="仿宋_GB2312" w:eastAsia="仿宋_GB2312" w:cs="仿宋_GB2312"/>
          <w:color w:val="auto"/>
          <w:kern w:val="0"/>
          <w:sz w:val="32"/>
          <w:szCs w:val="32"/>
          <w:u w:val="none"/>
        </w:rPr>
        <w:t xml:space="preserve">  风险准备金扶持</w:t>
      </w:r>
      <w:r>
        <w:rPr>
          <w:rFonts w:hint="eastAsia" w:ascii="仿宋_GB2312" w:hAnsi="仿宋_GB2312" w:eastAsia="仿宋_GB2312" w:cs="仿宋_GB2312"/>
          <w:color w:val="auto"/>
          <w:kern w:val="0"/>
          <w:sz w:val="32"/>
          <w:szCs w:val="32"/>
          <w:u w:val="none"/>
          <w:lang w:eastAsia="zh-CN"/>
        </w:rPr>
        <w:t>对象</w:t>
      </w:r>
      <w:r>
        <w:rPr>
          <w:rFonts w:hint="eastAsia" w:ascii="仿宋_GB2312" w:hAnsi="仿宋_GB2312" w:eastAsia="仿宋_GB2312" w:cs="仿宋_GB2312"/>
          <w:color w:val="auto"/>
          <w:kern w:val="0"/>
          <w:sz w:val="32"/>
          <w:szCs w:val="32"/>
          <w:u w:val="none"/>
        </w:rPr>
        <w:t>须符合以下入池条件：</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（一）</w:t>
      </w:r>
      <w:r>
        <w:rPr>
          <w:rFonts w:hint="eastAsia" w:ascii="仿宋_GB2312" w:hAnsi="仿宋_GB2312" w:eastAsia="仿宋_GB2312" w:cs="仿宋_GB2312"/>
          <w:color w:val="auto"/>
          <w:kern w:val="0"/>
          <w:sz w:val="32"/>
          <w:szCs w:val="32"/>
          <w:u w:val="none"/>
          <w:lang w:eastAsia="zh-CN"/>
        </w:rPr>
        <w:t>孵化类企业：</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rPr>
        <w:t>在中山注册时间半年以上，依法办理税务登记和纳税的企业法人；</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2.企业拥有1项发明专利或者2项以上实用新型专利、软件著作权、集成电路布图设计专有权、植物新品种等自主知识产权；</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3.企业</w:t>
      </w:r>
      <w:r>
        <w:rPr>
          <w:rFonts w:hint="eastAsia" w:ascii="仿宋_GB2312" w:hAnsi="仿宋_GB2312" w:eastAsia="仿宋_GB2312" w:cs="仿宋_GB2312"/>
          <w:color w:val="auto"/>
          <w:kern w:val="0"/>
          <w:sz w:val="32"/>
          <w:szCs w:val="32"/>
          <w:highlight w:val="none"/>
          <w:u w:val="none"/>
          <w:lang w:val="en-US" w:eastAsia="zh-CN"/>
        </w:rPr>
        <w:t>具备组织实施项目研发的能力，</w:t>
      </w:r>
      <w:r>
        <w:rPr>
          <w:rFonts w:hint="eastAsia" w:ascii="仿宋_GB2312" w:hAnsi="仿宋_GB2312" w:eastAsia="仿宋_GB2312" w:cs="仿宋_GB2312"/>
          <w:color w:val="auto"/>
          <w:kern w:val="0"/>
          <w:sz w:val="32"/>
          <w:szCs w:val="32"/>
          <w:u w:val="none"/>
          <w:lang w:val="en-US" w:eastAsia="zh-CN"/>
        </w:rPr>
        <w:t>建立有研发机构，有研发场地和研发设备；</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highlight w:val="none"/>
          <w:u w:val="none"/>
          <w:lang w:val="en-US" w:eastAsia="zh-CN"/>
        </w:rPr>
        <w:t>专职研究开发人员达3人以上；</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5.符合科技部门要求的科技创新发展方向；</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6.具有健全的财务管理制度。</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(二）成长类企业：</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rPr>
        <w:t>在中山注册时间</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年以上（符合国家战略性新兴产业范围的企业可适当放宽），依法办理税务登记和纳税的企业法人；</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高新技术企业年销售额最高不超过</w:t>
      </w:r>
      <w:r>
        <w:rPr>
          <w:rFonts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rPr>
        <w:t>亿元，其他科技型企业年销售额最高不超过</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亿元；</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3.企业拥有1项发明专利或者2项以上实用新型专利、软件著作权、集成电路布图设计专有权、植物新品种等自主知识产权；</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4.企业</w:t>
      </w:r>
      <w:r>
        <w:rPr>
          <w:rFonts w:hint="eastAsia" w:ascii="仿宋_GB2312" w:hAnsi="仿宋_GB2312" w:eastAsia="仿宋_GB2312" w:cs="仿宋_GB2312"/>
          <w:color w:val="auto"/>
          <w:kern w:val="0"/>
          <w:sz w:val="32"/>
          <w:szCs w:val="32"/>
          <w:u w:val="none"/>
        </w:rPr>
        <w:t>具备组织实施项目研发的能力</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highlight w:val="none"/>
          <w:u w:val="none"/>
          <w:lang w:val="en-US" w:eastAsia="zh-CN"/>
        </w:rPr>
        <w:t>建立有研发机构，有研发场地和研发设备，有持续的研发投入，上年研发经费不低于企业年销售收入的2%，或不少于50万元；</w:t>
      </w:r>
    </w:p>
    <w:p>
      <w:pPr>
        <w:widowControl/>
        <w:spacing w:line="574" w:lineRule="exact"/>
        <w:ind w:right="25" w:rightChars="12" w:firstLine="640" w:firstLineChars="200"/>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5.企业专职研究开发人员达5人以上，其中本科以上学历或中级职称以上人员不少于2人；</w:t>
      </w:r>
    </w:p>
    <w:p>
      <w:pPr>
        <w:widowControl/>
        <w:spacing w:line="574" w:lineRule="exact"/>
        <w:ind w:right="25" w:rightChars="12" w:firstLine="0" w:firstLineChars="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 xml:space="preserve">    6.</w:t>
      </w:r>
      <w:r>
        <w:rPr>
          <w:rFonts w:hint="eastAsia" w:ascii="仿宋_GB2312" w:hAnsi="仿宋_GB2312" w:eastAsia="仿宋_GB2312" w:cs="仿宋_GB2312"/>
          <w:color w:val="auto"/>
          <w:kern w:val="0"/>
          <w:sz w:val="32"/>
          <w:szCs w:val="32"/>
          <w:u w:val="none"/>
        </w:rPr>
        <w:t>符合科技部门要求的科技创新发展方向；</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rPr>
        <w:t>具有健全的财务管理制度</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（三）国家、省、市在中山支持设立的科研机构，以及其为科技成果转化在中山设立的孵化企业。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黑体" w:hAnsi="黑体" w:eastAsia="黑体" w:cs="黑体"/>
          <w:color w:val="auto"/>
          <w:kern w:val="0"/>
          <w:sz w:val="32"/>
          <w:szCs w:val="32"/>
          <w:highlight w:val="none"/>
          <w:u w:val="none"/>
        </w:rPr>
        <w:t>第十</w:t>
      </w:r>
      <w:r>
        <w:rPr>
          <w:rFonts w:hint="eastAsia" w:ascii="黑体" w:hAnsi="黑体" w:eastAsia="黑体" w:cs="黑体"/>
          <w:color w:val="auto"/>
          <w:kern w:val="0"/>
          <w:sz w:val="32"/>
          <w:szCs w:val="32"/>
          <w:highlight w:val="none"/>
          <w:u w:val="none"/>
          <w:lang w:val="en-US" w:eastAsia="zh-CN"/>
        </w:rPr>
        <w:t>四</w:t>
      </w:r>
      <w:r>
        <w:rPr>
          <w:rFonts w:hint="eastAsia" w:ascii="黑体" w:hAnsi="黑体" w:eastAsia="黑体" w:cs="黑体"/>
          <w:color w:val="auto"/>
          <w:kern w:val="0"/>
          <w:sz w:val="32"/>
          <w:szCs w:val="32"/>
          <w:highlight w:val="none"/>
          <w:u w:val="none"/>
        </w:rPr>
        <w:t>条</w:t>
      </w:r>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color w:val="auto"/>
          <w:kern w:val="0"/>
          <w:sz w:val="32"/>
          <w:szCs w:val="32"/>
          <w:u w:val="none"/>
          <w:shd w:val="clear" w:color="auto" w:fill="auto"/>
          <w:lang w:eastAsia="zh-CN"/>
        </w:rPr>
        <w:t>领军企业、市级创新标杆企业、</w:t>
      </w:r>
      <w:r>
        <w:rPr>
          <w:rFonts w:hint="eastAsia" w:ascii="仿宋_GB2312" w:hAnsi="仿宋_GB2312" w:eastAsia="仿宋_GB2312" w:cs="仿宋_GB2312"/>
          <w:spacing w:val="-6"/>
          <w:sz w:val="32"/>
          <w:szCs w:val="32"/>
          <w:highlight w:val="none"/>
          <w:u w:val="none"/>
        </w:rPr>
        <w:t>高新技术企业、中国创新创业大赛获奖企业、工程技术研究中心</w:t>
      </w:r>
      <w:r>
        <w:rPr>
          <w:rFonts w:hint="eastAsia" w:ascii="仿宋_GB2312" w:hAnsi="仿宋_GB2312" w:eastAsia="仿宋_GB2312" w:cs="仿宋_GB2312"/>
          <w:spacing w:val="-6"/>
          <w:sz w:val="32"/>
          <w:szCs w:val="32"/>
          <w:highlight w:val="none"/>
          <w:u w:val="none"/>
          <w:lang w:eastAsia="zh-CN"/>
        </w:rPr>
        <w:t>、企业重点实验室</w:t>
      </w:r>
      <w:r>
        <w:rPr>
          <w:rFonts w:hint="eastAsia" w:ascii="仿宋_GB2312" w:hAnsi="仿宋_GB2312" w:eastAsia="仿宋_GB2312" w:cs="仿宋_GB2312"/>
          <w:spacing w:val="-6"/>
          <w:sz w:val="32"/>
          <w:szCs w:val="32"/>
          <w:highlight w:val="none"/>
          <w:u w:val="none"/>
        </w:rPr>
        <w:t>的依托企业，原则上可优先入池，其他企业</w:t>
      </w:r>
      <w:r>
        <w:rPr>
          <w:rFonts w:hint="eastAsia" w:ascii="仿宋_GB2312" w:hAnsi="仿宋_GB2312" w:eastAsia="仿宋_GB2312" w:cs="仿宋_GB2312"/>
          <w:spacing w:val="-6"/>
          <w:sz w:val="32"/>
          <w:szCs w:val="32"/>
          <w:highlight w:val="none"/>
          <w:u w:val="none"/>
          <w:lang w:eastAsia="zh-CN"/>
        </w:rPr>
        <w:t>需</w:t>
      </w:r>
      <w:r>
        <w:rPr>
          <w:rFonts w:hint="eastAsia" w:ascii="仿宋_GB2312" w:hAnsi="仿宋_GB2312" w:eastAsia="仿宋_GB2312" w:cs="仿宋_GB2312"/>
          <w:spacing w:val="-6"/>
          <w:sz w:val="32"/>
          <w:szCs w:val="32"/>
          <w:highlight w:val="none"/>
          <w:u w:val="none"/>
        </w:rPr>
        <w:t>开展现场调研，核实企业科研情况。</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val="en-US" w:eastAsia="zh-CN"/>
        </w:rPr>
        <w:t>五</w:t>
      </w:r>
      <w:r>
        <w:rPr>
          <w:rFonts w:hint="eastAsia" w:ascii="黑体" w:hAnsi="黑体" w:eastAsia="黑体" w:cs="黑体"/>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本风险准备金项目对单一企业的支持贷款金额不超过</w:t>
      </w:r>
      <w:r>
        <w:rPr>
          <w:rFonts w:ascii="仿宋_GB2312" w:hAnsi="仿宋_GB2312" w:eastAsia="仿宋_GB2312" w:cs="仿宋_GB2312"/>
          <w:color w:val="auto"/>
          <w:kern w:val="0"/>
          <w:sz w:val="32"/>
          <w:szCs w:val="32"/>
          <w:u w:val="none"/>
        </w:rPr>
        <w:t>2000</w:t>
      </w:r>
      <w:r>
        <w:rPr>
          <w:rFonts w:hint="eastAsia" w:ascii="仿宋_GB2312" w:hAnsi="仿宋_GB2312" w:eastAsia="仿宋_GB2312" w:cs="仿宋_GB2312"/>
          <w:color w:val="auto"/>
          <w:kern w:val="0"/>
          <w:sz w:val="32"/>
          <w:szCs w:val="32"/>
          <w:u w:val="none"/>
        </w:rPr>
        <w:t>万元。</w:t>
      </w:r>
    </w:p>
    <w:p>
      <w:pPr>
        <w:widowControl/>
        <w:spacing w:line="574" w:lineRule="exact"/>
        <w:ind w:right="25" w:rightChars="12"/>
        <w:rPr>
          <w:rFonts w:ascii="黑体" w:hAnsi="黑体" w:eastAsia="黑体" w:cs="黑体"/>
          <w:color w:val="auto"/>
          <w:kern w:val="0"/>
          <w:sz w:val="32"/>
          <w:szCs w:val="28"/>
          <w:u w:val="none"/>
        </w:rPr>
      </w:pPr>
    </w:p>
    <w:p>
      <w:pPr>
        <w:spacing w:before="156" w:beforeLines="50" w:after="156" w:afterLines="50" w:line="574" w:lineRule="exact"/>
        <w:jc w:val="center"/>
        <w:rPr>
          <w:rFonts w:ascii="黑体" w:hAnsi="黑体" w:eastAsia="黑体" w:cs="黑体"/>
          <w:b/>
          <w:color w:val="auto"/>
          <w:sz w:val="32"/>
          <w:szCs w:val="28"/>
          <w:u w:val="none"/>
        </w:rPr>
      </w:pPr>
      <w:r>
        <w:rPr>
          <w:rFonts w:hint="eastAsia" w:ascii="黑体" w:hAnsi="黑体" w:eastAsia="黑体" w:cs="黑体"/>
          <w:b/>
          <w:color w:val="auto"/>
          <w:sz w:val="32"/>
          <w:szCs w:val="32"/>
          <w:u w:val="none"/>
        </w:rPr>
        <w:t>第四章</w:t>
      </w:r>
      <w:r>
        <w:rPr>
          <w:rFonts w:ascii="黑体" w:hAnsi="黑体" w:eastAsia="黑体" w:cs="黑体"/>
          <w:b/>
          <w:color w:val="auto"/>
          <w:sz w:val="32"/>
          <w:szCs w:val="32"/>
          <w:u w:val="none"/>
        </w:rPr>
        <w:t xml:space="preserve">  </w:t>
      </w:r>
      <w:r>
        <w:rPr>
          <w:rFonts w:hint="eastAsia" w:ascii="黑体" w:hAnsi="黑体" w:eastAsia="黑体" w:cs="黑体"/>
          <w:b/>
          <w:color w:val="auto"/>
          <w:sz w:val="32"/>
          <w:szCs w:val="32"/>
          <w:u w:val="none"/>
        </w:rPr>
        <w:t>风险准备金运作程序</w:t>
      </w:r>
    </w:p>
    <w:p>
      <w:pPr>
        <w:widowControl/>
        <w:spacing w:line="574" w:lineRule="exact"/>
        <w:ind w:right="25" w:rightChars="12" w:firstLine="480" w:firstLineChars="15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val="en-US" w:eastAsia="zh-CN"/>
        </w:rPr>
        <w:t>六</w:t>
      </w:r>
      <w:r>
        <w:rPr>
          <w:rFonts w:hint="eastAsia" w:ascii="黑体" w:hAnsi="黑体" w:eastAsia="黑体" w:cs="黑体"/>
          <w:color w:val="auto"/>
          <w:kern w:val="0"/>
          <w:sz w:val="32"/>
          <w:szCs w:val="32"/>
          <w:u w:val="none"/>
        </w:rPr>
        <w:t xml:space="preserve">条  </w:t>
      </w:r>
      <w:r>
        <w:rPr>
          <w:rFonts w:hint="eastAsia" w:ascii="仿宋_GB2312" w:hAnsi="仿宋_GB2312" w:eastAsia="仿宋_GB2312" w:cs="仿宋_GB2312"/>
          <w:color w:val="auto"/>
          <w:kern w:val="0"/>
          <w:sz w:val="32"/>
          <w:szCs w:val="32"/>
          <w:u w:val="none"/>
        </w:rPr>
        <w:t>风险准备金项目企业入池与贷款程序如下：</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（一）企业入池申请。企业填写《中山市科技信贷风险准备金入池企业申请表》，并附相关材料，经镇区、市科技局审核后，确定为入池企业。</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（二）选择合作银行。入池企业自主选择合作银行，合作银行按相关贷款程序对入池企业和贷款资金用途进行尽职调查，经合作银行审核通过后，向入池企业发放贷款。</w:t>
      </w:r>
    </w:p>
    <w:p>
      <w:pPr>
        <w:widowControl/>
        <w:spacing w:line="574" w:lineRule="exact"/>
        <w:ind w:right="25" w:rightChars="12" w:firstLine="640" w:firstLineChars="200"/>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u w:val="none"/>
        </w:rPr>
        <w:t>（三）银行贷款情况反馈。合作银行发放贷款后</w:t>
      </w:r>
      <w:r>
        <w:rPr>
          <w:rFonts w:hint="eastAsia" w:ascii="仿宋_GB2312" w:hAnsi="仿宋_GB2312"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rPr>
        <w:t>个</w:t>
      </w:r>
      <w:r>
        <w:rPr>
          <w:rFonts w:hint="eastAsia" w:ascii="仿宋_GB2312" w:hAnsi="仿宋_GB2312" w:eastAsia="仿宋_GB2312" w:cs="仿宋_GB2312"/>
          <w:color w:val="auto"/>
          <w:kern w:val="0"/>
          <w:sz w:val="32"/>
          <w:szCs w:val="32"/>
          <w:u w:val="none"/>
          <w:lang w:eastAsia="zh-CN"/>
        </w:rPr>
        <w:t>工作日</w:t>
      </w:r>
      <w:r>
        <w:rPr>
          <w:rFonts w:hint="eastAsia" w:ascii="仿宋_GB2312" w:hAnsi="仿宋_GB2312" w:eastAsia="仿宋_GB2312" w:cs="仿宋_GB2312"/>
          <w:color w:val="auto"/>
          <w:kern w:val="0"/>
          <w:sz w:val="32"/>
          <w:szCs w:val="32"/>
          <w:u w:val="none"/>
        </w:rPr>
        <w:t>内在系统反馈放款信息，并及时更新还款情况。</w:t>
      </w:r>
    </w:p>
    <w:p>
      <w:pPr>
        <w:widowControl/>
        <w:shd w:val="clear" w:color="auto" w:fill="auto"/>
        <w:spacing w:line="574" w:lineRule="exact"/>
        <w:ind w:right="25" w:rightChars="12" w:firstLine="614" w:firstLineChars="192"/>
        <w:rPr>
          <w:rFonts w:hint="eastAsia" w:ascii="仿宋_GB2312" w:hAnsi="仿宋_GB2312" w:eastAsia="仿宋_GB2312" w:cs="仿宋_GB2312"/>
          <w:color w:val="auto"/>
          <w:kern w:val="0"/>
          <w:sz w:val="32"/>
          <w:szCs w:val="32"/>
          <w:highlight w:val="none"/>
          <w:u w:val="none"/>
        </w:rPr>
      </w:pPr>
      <w:r>
        <w:rPr>
          <w:rFonts w:hint="eastAsia" w:ascii="黑体" w:hAnsi="黑体" w:eastAsia="黑体" w:cs="黑体"/>
          <w:color w:val="auto"/>
          <w:kern w:val="0"/>
          <w:sz w:val="32"/>
          <w:szCs w:val="32"/>
          <w:highlight w:val="none"/>
          <w:u w:val="none"/>
        </w:rPr>
        <w:t>第十七条</w:t>
      </w:r>
      <w:r>
        <w:rPr>
          <w:rFonts w:hint="eastAsia" w:ascii="仿宋_GB2312" w:hAnsi="仿宋_GB2312" w:eastAsia="仿宋_GB2312" w:cs="仿宋_GB2312"/>
          <w:color w:val="auto"/>
          <w:kern w:val="0"/>
          <w:sz w:val="32"/>
          <w:szCs w:val="32"/>
          <w:highlight w:val="none"/>
          <w:u w:val="none"/>
        </w:rPr>
        <w:t xml:space="preserve"> 合作银行定期向受托管理机构提交以下资料：</w:t>
      </w:r>
    </w:p>
    <w:p>
      <w:pPr>
        <w:widowControl/>
        <w:shd w:val="clear" w:color="auto" w:fill="auto"/>
        <w:spacing w:line="574" w:lineRule="exact"/>
        <w:ind w:right="25" w:rightChars="12" w:firstLine="614" w:firstLineChars="192"/>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（一）每季度报送不良贷款追偿跟踪情况表；</w:t>
      </w:r>
    </w:p>
    <w:p>
      <w:pPr>
        <w:widowControl/>
        <w:shd w:val="clear" w:color="auto" w:fill="auto"/>
        <w:spacing w:line="574" w:lineRule="exact"/>
        <w:ind w:right="25" w:rightChars="12" w:firstLine="614" w:firstLineChars="192"/>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（二）</w:t>
      </w:r>
      <w:r>
        <w:rPr>
          <w:rFonts w:hint="eastAsia" w:ascii="仿宋_GB2312" w:hAnsi="仿宋_GB2312" w:eastAsia="仿宋_GB2312" w:cs="仿宋_GB2312"/>
          <w:color w:val="auto"/>
          <w:kern w:val="0"/>
          <w:sz w:val="32"/>
          <w:szCs w:val="32"/>
          <w:highlight w:val="none"/>
          <w:u w:val="none"/>
        </w:rPr>
        <w:t>每</w:t>
      </w:r>
      <w:r>
        <w:rPr>
          <w:rFonts w:hint="eastAsia" w:ascii="仿宋_GB2312" w:hAnsi="仿宋_GB2312" w:eastAsia="仿宋_GB2312" w:cs="仿宋_GB2312"/>
          <w:color w:val="auto"/>
          <w:kern w:val="0"/>
          <w:sz w:val="32"/>
          <w:szCs w:val="32"/>
          <w:highlight w:val="none"/>
          <w:u w:val="none"/>
          <w:lang w:eastAsia="zh-CN"/>
        </w:rPr>
        <w:t>半年</w:t>
      </w:r>
      <w:r>
        <w:rPr>
          <w:rFonts w:hint="eastAsia" w:ascii="仿宋_GB2312" w:hAnsi="仿宋_GB2312" w:eastAsia="仿宋_GB2312" w:cs="仿宋_GB2312"/>
          <w:color w:val="auto"/>
          <w:kern w:val="0"/>
          <w:sz w:val="32"/>
          <w:szCs w:val="32"/>
          <w:highlight w:val="none"/>
          <w:u w:val="none"/>
        </w:rPr>
        <w:t>提交科技</w:t>
      </w:r>
      <w:r>
        <w:rPr>
          <w:rFonts w:hint="eastAsia" w:ascii="仿宋_GB2312" w:hAnsi="仿宋_GB2312" w:eastAsia="仿宋_GB2312" w:cs="仿宋_GB2312"/>
          <w:color w:val="auto"/>
          <w:kern w:val="0"/>
          <w:sz w:val="32"/>
          <w:szCs w:val="32"/>
          <w:highlight w:val="none"/>
          <w:u w:val="none"/>
          <w:lang w:eastAsia="zh-CN"/>
        </w:rPr>
        <w:t>信贷</w:t>
      </w:r>
      <w:r>
        <w:rPr>
          <w:rFonts w:hint="eastAsia" w:ascii="仿宋_GB2312" w:hAnsi="仿宋_GB2312" w:eastAsia="仿宋_GB2312" w:cs="仿宋_GB2312"/>
          <w:color w:val="auto"/>
          <w:kern w:val="0"/>
          <w:sz w:val="32"/>
          <w:szCs w:val="32"/>
          <w:highlight w:val="none"/>
          <w:u w:val="none"/>
        </w:rPr>
        <w:t>业务评估报告；</w:t>
      </w:r>
    </w:p>
    <w:p>
      <w:pPr>
        <w:widowControl/>
        <w:shd w:val="clear" w:color="auto" w:fill="auto"/>
        <w:spacing w:line="574" w:lineRule="exact"/>
        <w:ind w:right="25" w:rightChars="12" w:firstLine="614" w:firstLineChars="192"/>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三</w:t>
      </w:r>
      <w:r>
        <w:rPr>
          <w:rFonts w:hint="eastAsia" w:ascii="仿宋_GB2312" w:hAnsi="仿宋_GB2312" w:eastAsia="仿宋_GB2312" w:cs="仿宋_GB2312"/>
          <w:color w:val="auto"/>
          <w:kern w:val="0"/>
          <w:sz w:val="32"/>
          <w:szCs w:val="32"/>
          <w:highlight w:val="none"/>
          <w:u w:val="none"/>
        </w:rPr>
        <w:t>）每</w:t>
      </w:r>
      <w:r>
        <w:rPr>
          <w:rFonts w:hint="eastAsia" w:ascii="仿宋_GB2312" w:hAnsi="仿宋_GB2312" w:eastAsia="仿宋_GB2312" w:cs="仿宋_GB2312"/>
          <w:color w:val="auto"/>
          <w:kern w:val="0"/>
          <w:sz w:val="32"/>
          <w:szCs w:val="32"/>
          <w:highlight w:val="none"/>
          <w:u w:val="none"/>
          <w:lang w:eastAsia="zh-CN"/>
        </w:rPr>
        <w:t>年度</w:t>
      </w:r>
      <w:r>
        <w:rPr>
          <w:rFonts w:hint="eastAsia" w:ascii="仿宋_GB2312" w:hAnsi="仿宋_GB2312" w:eastAsia="仿宋_GB2312" w:cs="仿宋_GB2312"/>
          <w:color w:val="auto"/>
          <w:kern w:val="0"/>
          <w:sz w:val="32"/>
          <w:szCs w:val="32"/>
          <w:highlight w:val="none"/>
          <w:u w:val="none"/>
        </w:rPr>
        <w:t>提交科技信贷</w:t>
      </w:r>
      <w:r>
        <w:rPr>
          <w:rFonts w:hint="eastAsia" w:ascii="仿宋_GB2312" w:hAnsi="仿宋_GB2312" w:eastAsia="仿宋_GB2312" w:cs="仿宋_GB2312"/>
          <w:color w:val="auto"/>
          <w:kern w:val="0"/>
          <w:sz w:val="32"/>
          <w:szCs w:val="32"/>
          <w:highlight w:val="none"/>
          <w:u w:val="none"/>
          <w:lang w:eastAsia="zh-CN"/>
        </w:rPr>
        <w:t>贷款企业</w:t>
      </w:r>
      <w:r>
        <w:rPr>
          <w:rFonts w:hint="eastAsia" w:ascii="仿宋_GB2312" w:hAnsi="仿宋_GB2312" w:eastAsia="仿宋_GB2312" w:cs="仿宋_GB2312"/>
          <w:color w:val="auto"/>
          <w:kern w:val="0"/>
          <w:sz w:val="32"/>
          <w:szCs w:val="32"/>
          <w:highlight w:val="none"/>
          <w:u w:val="none"/>
        </w:rPr>
        <w:t>用款情况报告；</w:t>
      </w:r>
    </w:p>
    <w:p>
      <w:pPr>
        <w:widowControl/>
        <w:shd w:val="clear" w:color="auto" w:fill="auto"/>
        <w:spacing w:line="574" w:lineRule="exact"/>
        <w:ind w:right="25" w:rightChars="12" w:firstLine="614" w:firstLineChars="192"/>
        <w:rPr>
          <w:rFonts w:hint="eastAsia" w:ascii="黑体" w:hAnsi="黑体" w:eastAsia="黑体" w:cs="黑体"/>
          <w:color w:val="auto"/>
          <w:kern w:val="0"/>
          <w:sz w:val="32"/>
          <w:szCs w:val="32"/>
          <w:u w:val="none"/>
        </w:rPr>
      </w:pPr>
      <w:r>
        <w:rPr>
          <w:rFonts w:hint="eastAsia" w:ascii="仿宋_GB2312" w:hAnsi="仿宋_GB2312" w:eastAsia="仿宋_GB2312" w:cs="仿宋_GB2312"/>
          <w:color w:val="auto"/>
          <w:kern w:val="0"/>
          <w:sz w:val="32"/>
          <w:szCs w:val="32"/>
          <w:highlight w:val="none"/>
          <w:u w:val="none"/>
        </w:rPr>
        <w:t>（四）其他必要材料。</w:t>
      </w:r>
    </w:p>
    <w:p>
      <w:pPr>
        <w:widowControl/>
        <w:shd w:val="clear" w:color="auto" w:fill="auto"/>
        <w:spacing w:line="574" w:lineRule="exact"/>
        <w:ind w:right="25" w:rightChars="12" w:firstLine="614" w:firstLineChars="192"/>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八</w:t>
      </w:r>
      <w:r>
        <w:rPr>
          <w:rFonts w:hint="eastAsia" w:ascii="黑体" w:hAnsi="黑体" w:eastAsia="黑体" w:cs="黑体"/>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借款人贷款本息发生逾期由合作银行履行追偿义务，受托管理机构有义务协助合作银行追偿贷款。</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借款人在合作银行的贷款本息逾期超</w:t>
      </w:r>
      <w:r>
        <w:rPr>
          <w:rFonts w:ascii="仿宋_GB2312" w:hAnsi="仿宋_GB2312" w:eastAsia="仿宋_GB2312" w:cs="仿宋_GB2312"/>
          <w:color w:val="auto"/>
          <w:kern w:val="0"/>
          <w:sz w:val="32"/>
          <w:szCs w:val="32"/>
          <w:u w:val="none"/>
        </w:rPr>
        <w:t>30</w:t>
      </w:r>
      <w:r>
        <w:rPr>
          <w:rFonts w:hint="eastAsia" w:ascii="仿宋_GB2312" w:hAnsi="仿宋_GB2312" w:eastAsia="仿宋_GB2312" w:cs="仿宋_GB2312"/>
          <w:color w:val="auto"/>
          <w:kern w:val="0"/>
          <w:sz w:val="32"/>
          <w:szCs w:val="32"/>
          <w:u w:val="none"/>
        </w:rPr>
        <w:t>天没有还款的，列为不良贷款项目，由合作银行负责风险准备金入池企业不良贷款的追收，落实诉讼。</w:t>
      </w:r>
      <w:r>
        <w:rPr>
          <w:rFonts w:hint="eastAsia" w:ascii="仿宋_GB2312" w:hAnsi="仿宋_GB2312" w:eastAsia="仿宋_GB2312" w:cs="仿宋_GB2312"/>
          <w:color w:val="auto"/>
          <w:sz w:val="32"/>
          <w:szCs w:val="32"/>
          <w:u w:val="none"/>
        </w:rPr>
        <w:t>法院或仲裁机构正式立案</w:t>
      </w:r>
      <w:r>
        <w:rPr>
          <w:rFonts w:hint="eastAsia" w:ascii="仿宋_GB2312" w:hAnsi="仿宋_GB2312" w:eastAsia="仿宋_GB2312" w:cs="仿宋_GB2312"/>
          <w:color w:val="auto"/>
          <w:kern w:val="0"/>
          <w:sz w:val="32"/>
          <w:szCs w:val="32"/>
          <w:u w:val="none"/>
        </w:rPr>
        <w:t>后，</w:t>
      </w:r>
      <w:r>
        <w:rPr>
          <w:rFonts w:hint="eastAsia" w:ascii="仿宋_GB2312" w:hAnsi="仿宋_GB2312" w:eastAsia="仿宋_GB2312" w:cs="仿宋_GB2312"/>
          <w:color w:val="auto"/>
          <w:kern w:val="0"/>
          <w:sz w:val="32"/>
          <w:szCs w:val="32"/>
          <w:u w:val="none"/>
          <w:shd w:val="clear" w:color="auto" w:fill="auto"/>
        </w:rPr>
        <w:t>合作银行可就该笔贷款的逾期贷款本金部分提出风险补偿申请，</w:t>
      </w:r>
      <w:r>
        <w:rPr>
          <w:rFonts w:hint="eastAsia" w:ascii="仿宋_GB2312" w:hAnsi="仿宋_GB2312" w:eastAsia="仿宋_GB2312" w:cs="仿宋_GB2312"/>
          <w:color w:val="auto"/>
          <w:kern w:val="0"/>
          <w:sz w:val="32"/>
          <w:szCs w:val="32"/>
          <w:u w:val="none"/>
        </w:rPr>
        <w:t>由合作银行向受托管理机构提交《中山市科技信贷风险准备金入池企业贷款补偿申请表》及相关材料，</w:t>
      </w:r>
      <w:r>
        <w:rPr>
          <w:rFonts w:hint="eastAsia" w:ascii="仿宋_GB2312" w:hAnsi="仿宋_GB2312" w:eastAsia="仿宋_GB2312" w:cs="仿宋_GB2312"/>
          <w:color w:val="auto"/>
          <w:kern w:val="0"/>
          <w:sz w:val="32"/>
          <w:szCs w:val="32"/>
          <w:u w:val="none"/>
          <w:shd w:val="clear" w:color="auto" w:fill="auto"/>
        </w:rPr>
        <w:t>经受托管理机构</w:t>
      </w:r>
      <w:r>
        <w:rPr>
          <w:rFonts w:hint="eastAsia" w:ascii="仿宋_GB2312" w:hAnsi="仿宋_GB2312" w:eastAsia="仿宋_GB2312" w:cs="仿宋_GB2312"/>
          <w:color w:val="auto"/>
          <w:kern w:val="0"/>
          <w:sz w:val="32"/>
          <w:szCs w:val="32"/>
          <w:u w:val="none"/>
          <w:shd w:val="clear" w:color="auto" w:fill="auto"/>
          <w:lang w:eastAsia="zh-CN"/>
        </w:rPr>
        <w:t>核查并</w:t>
      </w:r>
      <w:r>
        <w:rPr>
          <w:rFonts w:hint="eastAsia" w:ascii="仿宋_GB2312" w:hAnsi="仿宋_GB2312" w:eastAsia="仿宋_GB2312" w:cs="仿宋_GB2312"/>
          <w:color w:val="auto"/>
          <w:kern w:val="0"/>
          <w:sz w:val="32"/>
          <w:szCs w:val="32"/>
          <w:u w:val="none"/>
          <w:shd w:val="clear" w:color="auto" w:fill="auto"/>
        </w:rPr>
        <w:t>出具审核意见</w:t>
      </w:r>
      <w:r>
        <w:rPr>
          <w:rFonts w:hint="eastAsia" w:ascii="仿宋_GB2312" w:hAnsi="仿宋_GB2312" w:eastAsia="仿宋_GB2312" w:cs="仿宋_GB2312"/>
          <w:color w:val="auto"/>
          <w:kern w:val="0"/>
          <w:sz w:val="32"/>
          <w:szCs w:val="32"/>
          <w:u w:val="none"/>
          <w:shd w:val="clear" w:color="auto" w:fill="auto"/>
          <w:lang w:eastAsia="zh-CN"/>
        </w:rPr>
        <w:t>后</w:t>
      </w:r>
      <w:r>
        <w:rPr>
          <w:rFonts w:hint="eastAsia" w:ascii="仿宋_GB2312" w:hAnsi="仿宋_GB2312" w:eastAsia="仿宋_GB2312" w:cs="仿宋_GB2312"/>
          <w:color w:val="auto"/>
          <w:kern w:val="0"/>
          <w:sz w:val="32"/>
          <w:szCs w:val="32"/>
          <w:u w:val="none"/>
          <w:shd w:val="clear" w:color="auto" w:fill="auto"/>
        </w:rPr>
        <w:t>，组织市科技局、火炬区管委会、合作银行召开会议研究讨论，形成风险补偿的初步意见</w:t>
      </w:r>
      <w:r>
        <w:rPr>
          <w:rFonts w:hint="eastAsia" w:ascii="仿宋_GB2312" w:hAnsi="仿宋_GB2312" w:eastAsia="仿宋_GB2312" w:cs="仿宋_GB2312"/>
          <w:color w:val="auto"/>
          <w:kern w:val="0"/>
          <w:sz w:val="32"/>
          <w:szCs w:val="32"/>
          <w:u w:val="none"/>
          <w:shd w:val="clear" w:color="auto" w:fill="auto"/>
          <w:lang w:eastAsia="zh-CN"/>
        </w:rPr>
        <w:t>，</w:t>
      </w:r>
      <w:r>
        <w:rPr>
          <w:rFonts w:hint="eastAsia" w:ascii="仿宋_GB2312" w:hAnsi="仿宋_GB2312" w:eastAsia="仿宋_GB2312" w:cs="仿宋_GB2312"/>
          <w:color w:val="auto"/>
          <w:kern w:val="0"/>
          <w:sz w:val="32"/>
          <w:szCs w:val="32"/>
          <w:u w:val="none"/>
          <w:shd w:val="clear" w:color="auto" w:fill="auto"/>
        </w:rPr>
        <w:t>提交联席会议审议。受托管理机构根据联席会议</w:t>
      </w:r>
      <w:r>
        <w:rPr>
          <w:rFonts w:hint="eastAsia" w:ascii="仿宋_GB2312" w:hAnsi="仿宋_GB2312" w:eastAsia="仿宋_GB2312" w:cs="仿宋_GB2312"/>
          <w:color w:val="auto"/>
          <w:kern w:val="0"/>
          <w:sz w:val="32"/>
          <w:szCs w:val="32"/>
          <w:u w:val="none"/>
          <w:shd w:val="clear" w:color="auto" w:fill="auto"/>
          <w:lang w:eastAsia="zh-CN"/>
        </w:rPr>
        <w:t>意见</w:t>
      </w:r>
      <w:r>
        <w:rPr>
          <w:rFonts w:hint="eastAsia" w:ascii="仿宋_GB2312" w:hAnsi="仿宋_GB2312" w:eastAsia="仿宋_GB2312" w:cs="仿宋_GB2312"/>
          <w:color w:val="auto"/>
          <w:kern w:val="0"/>
          <w:sz w:val="32"/>
          <w:szCs w:val="32"/>
          <w:u w:val="none"/>
          <w:shd w:val="clear" w:color="auto" w:fill="auto"/>
        </w:rPr>
        <w:t>，按单笔贷款金额区间比例分摊风险向合作银行支付风险补偿金。</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九</w:t>
      </w:r>
      <w:r>
        <w:rPr>
          <w:rFonts w:hint="eastAsia" w:ascii="黑体" w:hAnsi="黑体" w:eastAsia="黑体" w:cs="黑体"/>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风险准备金风险分摊比例如下：</w:t>
      </w:r>
    </w:p>
    <w:tbl>
      <w:tblPr>
        <w:tblStyle w:val="4"/>
        <w:tblpPr w:leftFromText="180" w:rightFromText="180" w:vertAnchor="text" w:horzAnchor="margin" w:tblpY="2"/>
        <w:tblOverlap w:val="never"/>
        <w:tblW w:w="0" w:type="auto"/>
        <w:tblInd w:w="0" w:type="dxa"/>
        <w:tblLayout w:type="autofit"/>
        <w:tblCellMar>
          <w:top w:w="0" w:type="dxa"/>
          <w:left w:w="108" w:type="dxa"/>
          <w:bottom w:w="0" w:type="dxa"/>
          <w:right w:w="108" w:type="dxa"/>
        </w:tblCellMar>
      </w:tblPr>
      <w:tblGrid>
        <w:gridCol w:w="594"/>
        <w:gridCol w:w="870"/>
        <w:gridCol w:w="1350"/>
        <w:gridCol w:w="2175"/>
        <w:gridCol w:w="1065"/>
        <w:gridCol w:w="1200"/>
        <w:gridCol w:w="1268"/>
      </w:tblGrid>
      <w:tr>
        <w:tblPrEx>
          <w:tblCellMar>
            <w:top w:w="0" w:type="dxa"/>
            <w:left w:w="108" w:type="dxa"/>
            <w:bottom w:w="0" w:type="dxa"/>
            <w:right w:w="108" w:type="dxa"/>
          </w:tblCellMar>
        </w:tblPrEx>
        <w:trPr>
          <w:trHeight w:val="481" w:hRule="atLeast"/>
        </w:trPr>
        <w:tc>
          <w:tcPr>
            <w:tcW w:w="594" w:type="dxa"/>
            <w:tcBorders>
              <w:top w:val="single" w:color="auto" w:sz="8" w:space="0"/>
              <w:left w:val="single" w:color="auto" w:sz="8" w:space="0"/>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类型</w:t>
            </w:r>
          </w:p>
        </w:tc>
        <w:tc>
          <w:tcPr>
            <w:tcW w:w="870" w:type="dxa"/>
            <w:tcBorders>
              <w:top w:val="single" w:color="auto" w:sz="8" w:space="0"/>
              <w:left w:val="nil"/>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分摊类别</w:t>
            </w:r>
          </w:p>
        </w:tc>
        <w:tc>
          <w:tcPr>
            <w:tcW w:w="1350" w:type="dxa"/>
            <w:tcBorders>
              <w:top w:val="single" w:color="auto" w:sz="8" w:space="0"/>
              <w:left w:val="nil"/>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单一客户最高贷款额</w:t>
            </w:r>
            <w:r>
              <w:rPr>
                <w:rFonts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rPr>
              <w:t>万元</w:t>
            </w:r>
            <w:r>
              <w:rPr>
                <w:rFonts w:ascii="仿宋_GB2312" w:hAnsi="仿宋_GB2312" w:eastAsia="仿宋_GB2312" w:cs="仿宋_GB2312"/>
                <w:color w:val="auto"/>
                <w:kern w:val="0"/>
                <w:sz w:val="24"/>
                <w:szCs w:val="24"/>
                <w:u w:val="none"/>
              </w:rPr>
              <w:t>)</w:t>
            </w:r>
          </w:p>
        </w:tc>
        <w:tc>
          <w:tcPr>
            <w:tcW w:w="2175" w:type="dxa"/>
            <w:tcBorders>
              <w:top w:val="single" w:color="auto" w:sz="8" w:space="0"/>
              <w:left w:val="nil"/>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对应担保条件</w:t>
            </w:r>
          </w:p>
        </w:tc>
        <w:tc>
          <w:tcPr>
            <w:tcW w:w="1065" w:type="dxa"/>
            <w:tcBorders>
              <w:top w:val="single" w:color="auto" w:sz="8" w:space="0"/>
              <w:left w:val="nil"/>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银行分摊</w:t>
            </w:r>
            <w:r>
              <w:rPr>
                <w:rFonts w:ascii="仿宋_GB2312" w:hAnsi="仿宋_GB2312" w:eastAsia="仿宋_GB2312" w:cs="仿宋_GB2312"/>
                <w:color w:val="auto"/>
                <w:kern w:val="0"/>
                <w:sz w:val="24"/>
                <w:szCs w:val="24"/>
                <w:u w:val="none"/>
              </w:rPr>
              <w:t xml:space="preserve">  </w:t>
            </w:r>
            <w:r>
              <w:rPr>
                <w:rFonts w:hint="eastAsia" w:ascii="仿宋_GB2312" w:hAnsi="仿宋_GB2312" w:eastAsia="仿宋_GB2312" w:cs="仿宋_GB2312"/>
                <w:color w:val="auto"/>
                <w:kern w:val="0"/>
                <w:sz w:val="24"/>
                <w:szCs w:val="24"/>
                <w:u w:val="none"/>
              </w:rPr>
              <w:t>占比（</w:t>
            </w:r>
            <w:r>
              <w:rPr>
                <w:rFonts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rPr>
              <w:t>）</w:t>
            </w:r>
          </w:p>
        </w:tc>
        <w:tc>
          <w:tcPr>
            <w:tcW w:w="1200" w:type="dxa"/>
            <w:tcBorders>
              <w:top w:val="single" w:color="auto" w:sz="8" w:space="0"/>
              <w:left w:val="nil"/>
              <w:bottom w:val="double" w:color="auto" w:sz="6"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风险池资金</w:t>
            </w:r>
            <w:r>
              <w:rPr>
                <w:rFonts w:ascii="仿宋_GB2312" w:hAnsi="仿宋_GB2312" w:eastAsia="仿宋_GB2312" w:cs="仿宋_GB2312"/>
                <w:color w:val="auto"/>
                <w:kern w:val="0"/>
                <w:sz w:val="24"/>
                <w:szCs w:val="24"/>
                <w:u w:val="none"/>
              </w:rPr>
              <w:t xml:space="preserve">  </w:t>
            </w:r>
            <w:r>
              <w:rPr>
                <w:rFonts w:hint="eastAsia" w:ascii="仿宋_GB2312" w:hAnsi="仿宋_GB2312" w:eastAsia="仿宋_GB2312" w:cs="仿宋_GB2312"/>
                <w:color w:val="auto"/>
                <w:kern w:val="0"/>
                <w:sz w:val="24"/>
                <w:szCs w:val="24"/>
                <w:u w:val="none"/>
              </w:rPr>
              <w:t>分摊占比（</w:t>
            </w:r>
            <w:r>
              <w:rPr>
                <w:rFonts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rPr>
              <w:t>）</w:t>
            </w:r>
          </w:p>
        </w:tc>
        <w:tc>
          <w:tcPr>
            <w:tcW w:w="1268" w:type="dxa"/>
            <w:tcBorders>
              <w:top w:val="single" w:color="auto" w:sz="8" w:space="0"/>
              <w:left w:val="nil"/>
              <w:bottom w:val="double" w:color="auto" w:sz="6" w:space="0"/>
              <w:right w:val="single" w:color="auto" w:sz="8"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风险池最高承担金额（万元）</w:t>
            </w:r>
          </w:p>
        </w:tc>
      </w:tr>
      <w:tr>
        <w:tblPrEx>
          <w:tblCellMar>
            <w:top w:w="0" w:type="dxa"/>
            <w:left w:w="108" w:type="dxa"/>
            <w:bottom w:w="0" w:type="dxa"/>
            <w:right w:w="108" w:type="dxa"/>
          </w:tblCellMar>
        </w:tblPrEx>
        <w:trPr>
          <w:trHeight w:val="473" w:hRule="atLeast"/>
        </w:trPr>
        <w:tc>
          <w:tcPr>
            <w:tcW w:w="594" w:type="dxa"/>
            <w:tcBorders>
              <w:top w:val="nil"/>
              <w:left w:val="single" w:color="auto" w:sz="8" w:space="0"/>
              <w:bottom w:val="single" w:color="auto"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孵化类</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p>
        </w:tc>
        <w:tc>
          <w:tcPr>
            <w:tcW w:w="1350" w:type="dxa"/>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200</w:t>
            </w:r>
          </w:p>
        </w:tc>
        <w:tc>
          <w:tcPr>
            <w:tcW w:w="2175"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首贷类</w:t>
            </w:r>
          </w:p>
        </w:tc>
        <w:tc>
          <w:tcPr>
            <w:tcW w:w="1065"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10 </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90 </w:t>
            </w:r>
          </w:p>
        </w:tc>
        <w:tc>
          <w:tcPr>
            <w:tcW w:w="1268" w:type="dxa"/>
            <w:tcBorders>
              <w:top w:val="nil"/>
              <w:left w:val="nil"/>
              <w:bottom w:val="single" w:color="auto" w:sz="4" w:space="0"/>
              <w:right w:val="single" w:color="auto" w:sz="8" w:space="0"/>
            </w:tcBorders>
            <w:shd w:val="clear" w:color="000000" w:fill="FFFFFF"/>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180 </w:t>
            </w:r>
          </w:p>
        </w:tc>
      </w:tr>
      <w:tr>
        <w:tblPrEx>
          <w:tblCellMar>
            <w:top w:w="0" w:type="dxa"/>
            <w:left w:w="108" w:type="dxa"/>
            <w:bottom w:w="0" w:type="dxa"/>
            <w:right w:w="108" w:type="dxa"/>
          </w:tblCellMar>
        </w:tblPrEx>
        <w:trPr>
          <w:trHeight w:val="868" w:hRule="atLeast"/>
        </w:trPr>
        <w:tc>
          <w:tcPr>
            <w:tcW w:w="5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auto"/>
                <w:kern w:val="0"/>
                <w:sz w:val="24"/>
                <w:szCs w:val="24"/>
                <w:u w:val="none"/>
              </w:rPr>
            </w:pPr>
          </w:p>
          <w:p>
            <w:pPr>
              <w:widowControl/>
              <w:spacing w:line="240" w:lineRule="auto"/>
              <w:jc w:val="center"/>
              <w:rPr>
                <w:rFonts w:hint="eastAsia" w:ascii="仿宋_GB2312" w:hAnsi="仿宋_GB2312" w:eastAsia="仿宋_GB2312" w:cs="仿宋_GB2312"/>
                <w:color w:val="auto"/>
                <w:kern w:val="0"/>
                <w:sz w:val="24"/>
                <w:szCs w:val="24"/>
                <w:u w:val="none"/>
              </w:rPr>
            </w:pPr>
          </w:p>
          <w:p>
            <w:pPr>
              <w:widowControl/>
              <w:spacing w:line="240" w:lineRule="auto"/>
              <w:jc w:val="center"/>
              <w:rPr>
                <w:rFonts w:hint="eastAsia" w:ascii="仿宋_GB2312" w:hAnsi="仿宋_GB2312" w:eastAsia="仿宋_GB2312" w:cs="仿宋_GB2312"/>
                <w:color w:val="auto"/>
                <w:kern w:val="0"/>
                <w:sz w:val="24"/>
                <w:szCs w:val="24"/>
                <w:u w:val="none"/>
              </w:rPr>
            </w:pPr>
          </w:p>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成长类</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一</w:t>
            </w:r>
          </w:p>
        </w:tc>
        <w:tc>
          <w:tcPr>
            <w:tcW w:w="135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500</w:t>
            </w:r>
          </w:p>
        </w:tc>
        <w:tc>
          <w:tcPr>
            <w:tcW w:w="2175" w:type="dxa"/>
            <w:tcBorders>
              <w:top w:val="nil"/>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知识产权（含发明专利</w:t>
            </w:r>
            <w:r>
              <w:rPr>
                <w:rFonts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rPr>
              <w:t>实用新型专利）</w:t>
            </w:r>
          </w:p>
        </w:tc>
        <w:tc>
          <w:tcPr>
            <w:tcW w:w="1065" w:type="dxa"/>
            <w:tcBorders>
              <w:top w:val="nil"/>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30 </w:t>
            </w:r>
          </w:p>
        </w:tc>
        <w:tc>
          <w:tcPr>
            <w:tcW w:w="1200" w:type="dxa"/>
            <w:tcBorders>
              <w:top w:val="nil"/>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70 </w:t>
            </w:r>
          </w:p>
        </w:tc>
        <w:tc>
          <w:tcPr>
            <w:tcW w:w="1268" w:type="dxa"/>
            <w:tcBorders>
              <w:top w:val="nil"/>
              <w:left w:val="nil"/>
              <w:bottom w:val="single" w:color="auto" w:sz="4" w:space="0"/>
              <w:right w:val="single" w:color="auto" w:sz="8"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 xml:space="preserve">350 </w:t>
            </w:r>
          </w:p>
        </w:tc>
      </w:tr>
      <w:tr>
        <w:tblPrEx>
          <w:tblCellMar>
            <w:top w:w="0" w:type="dxa"/>
            <w:left w:w="108" w:type="dxa"/>
            <w:bottom w:w="0" w:type="dxa"/>
            <w:right w:w="108" w:type="dxa"/>
          </w:tblCellMar>
        </w:tblPrEx>
        <w:trPr>
          <w:trHeight w:val="643" w:hRule="atLeast"/>
        </w:trPr>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仿宋_GB2312" w:hAnsi="仿宋_GB2312" w:eastAsia="仿宋_GB2312" w:cs="仿宋_GB2312"/>
                <w:color w:val="auto"/>
                <w:kern w:val="0"/>
                <w:sz w:val="24"/>
                <w:szCs w:val="24"/>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1000</w:t>
            </w:r>
          </w:p>
        </w:tc>
        <w:tc>
          <w:tcPr>
            <w:tcW w:w="2175"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股权质押</w:t>
            </w:r>
          </w:p>
        </w:tc>
        <w:tc>
          <w:tcPr>
            <w:tcW w:w="1065" w:type="dxa"/>
            <w:tcBorders>
              <w:top w:val="nil"/>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30</w:t>
            </w:r>
          </w:p>
        </w:tc>
        <w:tc>
          <w:tcPr>
            <w:tcW w:w="1200" w:type="dxa"/>
            <w:tcBorders>
              <w:top w:val="nil"/>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70</w:t>
            </w:r>
          </w:p>
        </w:tc>
        <w:tc>
          <w:tcPr>
            <w:tcW w:w="1268" w:type="dxa"/>
            <w:tcBorders>
              <w:top w:val="nil"/>
              <w:left w:val="nil"/>
              <w:bottom w:val="single" w:color="auto" w:sz="4" w:space="0"/>
              <w:right w:val="single" w:color="auto" w:sz="8"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700</w:t>
            </w:r>
          </w:p>
        </w:tc>
      </w:tr>
      <w:tr>
        <w:tblPrEx>
          <w:tblCellMar>
            <w:top w:w="0" w:type="dxa"/>
            <w:left w:w="108" w:type="dxa"/>
            <w:bottom w:w="0" w:type="dxa"/>
            <w:right w:w="108" w:type="dxa"/>
          </w:tblCellMar>
        </w:tblPrEx>
        <w:trPr>
          <w:trHeight w:val="868" w:hRule="atLeast"/>
        </w:trPr>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仿宋_GB2312" w:hAnsi="仿宋_GB2312" w:eastAsia="仿宋_GB2312" w:cs="仿宋_GB2312"/>
                <w:color w:val="auto"/>
                <w:kern w:val="0"/>
                <w:sz w:val="24"/>
                <w:szCs w:val="24"/>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三</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w:t>
            </w:r>
            <w:r>
              <w:rPr>
                <w:rFonts w:ascii="仿宋_GB2312" w:hAnsi="仿宋_GB2312" w:eastAsia="仿宋_GB2312" w:cs="仿宋_GB2312"/>
                <w:color w:val="auto"/>
                <w:kern w:val="0"/>
                <w:sz w:val="24"/>
                <w:szCs w:val="24"/>
                <w:highlight w:val="none"/>
                <w:u w:val="none"/>
              </w:rPr>
              <w:t>000</w:t>
            </w:r>
          </w:p>
        </w:tc>
        <w:tc>
          <w:tcPr>
            <w:tcW w:w="217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shd w:val="clear" w:color="auto"/>
              </w:rPr>
              <w:t>提供房产抵押，贷款</w:t>
            </w:r>
            <w:r>
              <w:rPr>
                <w:rFonts w:hint="eastAsia" w:ascii="仿宋_GB2312" w:hAnsi="仿宋_GB2312" w:eastAsia="仿宋_GB2312" w:cs="仿宋_GB2312"/>
                <w:color w:val="auto"/>
                <w:kern w:val="0"/>
                <w:sz w:val="24"/>
                <w:szCs w:val="24"/>
                <w:highlight w:val="none"/>
                <w:u w:val="none"/>
                <w:shd w:val="clear" w:color="auto"/>
                <w:lang w:eastAsia="zh-CN"/>
              </w:rPr>
              <w:t>金额低</w:t>
            </w:r>
            <w:r>
              <w:rPr>
                <w:rFonts w:hint="eastAsia" w:ascii="仿宋_GB2312" w:hAnsi="仿宋_GB2312" w:eastAsia="仿宋_GB2312" w:cs="仿宋_GB2312"/>
                <w:color w:val="auto"/>
                <w:kern w:val="0"/>
                <w:sz w:val="24"/>
                <w:szCs w:val="24"/>
                <w:highlight w:val="none"/>
                <w:u w:val="none"/>
                <w:shd w:val="clear" w:color="auto"/>
              </w:rPr>
              <w:t>于评估值</w:t>
            </w:r>
            <w:r>
              <w:rPr>
                <w:rFonts w:hint="eastAsia" w:ascii="仿宋_GB2312" w:hAnsi="仿宋_GB2312" w:eastAsia="仿宋_GB2312" w:cs="仿宋_GB2312"/>
                <w:color w:val="auto"/>
                <w:kern w:val="0"/>
                <w:sz w:val="24"/>
                <w:szCs w:val="24"/>
                <w:highlight w:val="none"/>
                <w:u w:val="none"/>
                <w:shd w:val="clear" w:color="auto"/>
                <w:lang w:val="en-US" w:eastAsia="zh-CN"/>
              </w:rPr>
              <w:t>2</w:t>
            </w:r>
            <w:r>
              <w:rPr>
                <w:rFonts w:hint="eastAsia" w:ascii="仿宋_GB2312" w:hAnsi="仿宋_GB2312" w:eastAsia="仿宋_GB2312" w:cs="仿宋_GB2312"/>
                <w:color w:val="auto"/>
                <w:kern w:val="0"/>
                <w:sz w:val="24"/>
                <w:szCs w:val="24"/>
                <w:highlight w:val="none"/>
                <w:u w:val="none"/>
                <w:shd w:val="clear" w:color="auto"/>
              </w:rPr>
              <w:t>倍（含</w:t>
            </w:r>
            <w:r>
              <w:rPr>
                <w:rFonts w:ascii="仿宋_GB2312" w:hAnsi="仿宋_GB2312" w:eastAsia="仿宋_GB2312" w:cs="仿宋_GB2312"/>
                <w:color w:val="auto"/>
                <w:kern w:val="0"/>
                <w:sz w:val="24"/>
                <w:szCs w:val="24"/>
                <w:highlight w:val="none"/>
                <w:u w:val="none"/>
                <w:shd w:val="clear" w:color="auto"/>
              </w:rPr>
              <w:t>2</w:t>
            </w:r>
            <w:r>
              <w:rPr>
                <w:rFonts w:hint="eastAsia" w:ascii="仿宋_GB2312" w:hAnsi="仿宋_GB2312" w:eastAsia="仿宋_GB2312" w:cs="仿宋_GB2312"/>
                <w:color w:val="auto"/>
                <w:kern w:val="0"/>
                <w:sz w:val="24"/>
                <w:szCs w:val="24"/>
                <w:highlight w:val="none"/>
                <w:u w:val="none"/>
                <w:shd w:val="clear" w:color="auto"/>
              </w:rPr>
              <w:t>倍）</w:t>
            </w:r>
          </w:p>
        </w:tc>
        <w:tc>
          <w:tcPr>
            <w:tcW w:w="106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shd w:val="clear" w:color="auto"/>
                <w:lang w:val="en-US" w:eastAsia="zh-CN"/>
              </w:rPr>
              <w:t>5</w:t>
            </w:r>
            <w:r>
              <w:rPr>
                <w:rFonts w:ascii="仿宋_GB2312" w:hAnsi="仿宋_GB2312" w:eastAsia="仿宋_GB2312" w:cs="仿宋_GB2312"/>
                <w:color w:val="auto"/>
                <w:kern w:val="0"/>
                <w:sz w:val="24"/>
                <w:szCs w:val="24"/>
                <w:u w:val="none"/>
                <w:shd w:val="clear" w:color="auto"/>
              </w:rPr>
              <w:t>0</w:t>
            </w:r>
          </w:p>
        </w:tc>
        <w:tc>
          <w:tcPr>
            <w:tcW w:w="120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shd w:val="clear" w:color="auto"/>
                <w:lang w:val="en-US" w:eastAsia="zh-CN"/>
              </w:rPr>
              <w:t>5</w:t>
            </w:r>
            <w:r>
              <w:rPr>
                <w:rFonts w:ascii="仿宋_GB2312" w:hAnsi="仿宋_GB2312" w:eastAsia="仿宋_GB2312" w:cs="仿宋_GB2312"/>
                <w:color w:val="auto"/>
                <w:kern w:val="0"/>
                <w:sz w:val="24"/>
                <w:szCs w:val="24"/>
                <w:u w:val="none"/>
                <w:shd w:val="clear" w:color="auto"/>
              </w:rPr>
              <w:t>0</w:t>
            </w:r>
            <w:r>
              <w:rPr>
                <w:rFonts w:ascii="仿宋_GB2312" w:hAnsi="仿宋_GB2312" w:eastAsia="仿宋_GB2312" w:cs="仿宋_GB2312"/>
                <w:color w:val="auto"/>
                <w:kern w:val="0"/>
                <w:sz w:val="24"/>
                <w:szCs w:val="24"/>
                <w:u w:val="none"/>
              </w:rPr>
              <w:t xml:space="preserve"> </w:t>
            </w:r>
          </w:p>
        </w:tc>
        <w:tc>
          <w:tcPr>
            <w:tcW w:w="1268" w:type="dxa"/>
            <w:tcBorders>
              <w:top w:val="nil"/>
              <w:left w:val="nil"/>
              <w:bottom w:val="single" w:color="auto" w:sz="4" w:space="0"/>
              <w:right w:val="single" w:color="auto" w:sz="8" w:space="0"/>
            </w:tcBorders>
            <w:shd w:val="clear" w:color="auto" w:fill="auto"/>
            <w:noWrap w:val="0"/>
            <w:vAlign w:val="center"/>
          </w:tcPr>
          <w:p>
            <w:pPr>
              <w:widowControl/>
              <w:spacing w:line="240" w:lineRule="auto"/>
              <w:jc w:val="center"/>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shd w:val="clear" w:color="auto"/>
                <w:lang w:val="en-US" w:eastAsia="zh-CN"/>
              </w:rPr>
              <w:t>500</w:t>
            </w:r>
          </w:p>
        </w:tc>
      </w:tr>
      <w:tr>
        <w:tblPrEx>
          <w:tblCellMar>
            <w:top w:w="0" w:type="dxa"/>
            <w:left w:w="108" w:type="dxa"/>
            <w:bottom w:w="0" w:type="dxa"/>
            <w:right w:w="108" w:type="dxa"/>
          </w:tblCellMar>
        </w:tblPrEx>
        <w:trPr>
          <w:trHeight w:val="598" w:hRule="atLeast"/>
        </w:trPr>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仿宋_GB2312" w:hAnsi="仿宋_GB2312" w:eastAsia="仿宋_GB2312" w:cs="仿宋_GB2312"/>
                <w:color w:val="auto"/>
                <w:kern w:val="0"/>
                <w:sz w:val="24"/>
                <w:szCs w:val="24"/>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highlight w:val="lightGray"/>
                <w:u w:val="none"/>
              </w:rPr>
            </w:pPr>
            <w:r>
              <w:rPr>
                <w:rFonts w:ascii="仿宋_GB2312" w:hAnsi="仿宋_GB2312" w:eastAsia="仿宋_GB2312" w:cs="仿宋_GB2312"/>
                <w:color w:val="auto"/>
                <w:kern w:val="0"/>
                <w:sz w:val="24"/>
                <w:szCs w:val="24"/>
                <w:u w:val="none"/>
              </w:rPr>
              <w:t>500</w:t>
            </w:r>
          </w:p>
        </w:tc>
        <w:tc>
          <w:tcPr>
            <w:tcW w:w="217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信用</w:t>
            </w:r>
          </w:p>
        </w:tc>
        <w:tc>
          <w:tcPr>
            <w:tcW w:w="106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40</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仿宋_GB2312" w:hAnsi="仿宋_GB2312" w:eastAsia="仿宋_GB2312" w:cs="仿宋_GB2312"/>
                <w:color w:val="auto"/>
                <w:kern w:val="0"/>
                <w:sz w:val="24"/>
                <w:szCs w:val="24"/>
                <w:u w:val="none"/>
              </w:rPr>
            </w:pPr>
            <w:r>
              <w:rPr>
                <w:rFonts w:ascii="仿宋_GB2312" w:hAnsi="仿宋_GB2312" w:eastAsia="仿宋_GB2312" w:cs="仿宋_GB2312"/>
                <w:color w:val="auto"/>
                <w:kern w:val="0"/>
                <w:sz w:val="24"/>
                <w:szCs w:val="24"/>
                <w:u w:val="none"/>
              </w:rPr>
              <w:t>60</w:t>
            </w:r>
          </w:p>
        </w:tc>
        <w:tc>
          <w:tcPr>
            <w:tcW w:w="126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仿宋_GB2312" w:hAnsi="仿宋_GB2312" w:eastAsia="仿宋_GB2312" w:cs="仿宋_GB2312"/>
                <w:color w:val="auto"/>
                <w:kern w:val="0"/>
                <w:sz w:val="24"/>
                <w:szCs w:val="24"/>
                <w:u w:val="none"/>
                <w:lang w:val="en-US" w:eastAsia="zh-CN"/>
              </w:rPr>
            </w:pPr>
            <w:r>
              <w:rPr>
                <w:rFonts w:ascii="仿宋_GB2312" w:hAnsi="仿宋_GB2312" w:eastAsia="仿宋_GB2312" w:cs="仿宋_GB2312"/>
                <w:color w:val="auto"/>
                <w:kern w:val="0"/>
                <w:sz w:val="24"/>
                <w:szCs w:val="24"/>
                <w:u w:val="none"/>
              </w:rPr>
              <w:t>300</w:t>
            </w:r>
          </w:p>
        </w:tc>
      </w:tr>
    </w:tbl>
    <w:p>
      <w:pPr>
        <w:widowControl/>
        <w:spacing w:line="574" w:lineRule="exact"/>
        <w:ind w:right="25" w:rightChars="12" w:firstLine="480" w:firstLineChars="200"/>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（注：孵化类企业是指落户在市级以上科技部门认定的孵化器的企业。）</w:t>
      </w:r>
    </w:p>
    <w:p>
      <w:pPr>
        <w:widowControl/>
        <w:spacing w:line="574" w:lineRule="exact"/>
        <w:ind w:right="25" w:rightChars="12" w:firstLine="640" w:firstLineChars="200"/>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color w:val="auto"/>
          <w:kern w:val="0"/>
          <w:sz w:val="32"/>
          <w:szCs w:val="32"/>
          <w:u w:val="none"/>
          <w:lang w:eastAsia="zh-CN"/>
        </w:rPr>
        <w:t>房产抵押类贷款采用商业贷款和科技信贷相结合的方式进行支持，企业申请贷款中足值抵押部分（</w:t>
      </w:r>
      <w:r>
        <w:rPr>
          <w:rFonts w:hint="eastAsia" w:ascii="仿宋_GB2312" w:hAnsi="仿宋_GB2312" w:eastAsia="仿宋_GB2312" w:cs="仿宋_GB2312"/>
          <w:color w:val="auto"/>
          <w:kern w:val="0"/>
          <w:sz w:val="32"/>
          <w:szCs w:val="32"/>
          <w:u w:val="none"/>
          <w:lang w:val="en-US" w:eastAsia="zh-CN"/>
        </w:rPr>
        <w:t>抵押物评估价值*70%</w:t>
      </w:r>
      <w:r>
        <w:rPr>
          <w:rFonts w:hint="eastAsia" w:ascii="仿宋_GB2312" w:hAnsi="仿宋_GB2312" w:eastAsia="仿宋_GB2312" w:cs="仿宋_GB2312"/>
          <w:color w:val="auto"/>
          <w:kern w:val="0"/>
          <w:sz w:val="32"/>
          <w:szCs w:val="32"/>
          <w:u w:val="none"/>
          <w:lang w:eastAsia="zh-CN"/>
        </w:rPr>
        <w:t>），科技信贷风险准备金不再进行风险分摊，银行只可对超足值抵押部分的贷款金额申请纳入科技信贷支持范围，若企业分多笔提款，足值抵押部分的商业贷款发放时间不能晚于科技信贷支持部分。</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广东网上科技支行风险准备金风险分摊按照省的有关规定，则本风险补偿金只承担市级部分，其余部分向省科技厅申请风险补偿资金解决。</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w:t>
      </w:r>
      <w:r>
        <w:rPr>
          <w:rFonts w:hint="eastAsia" w:ascii="黑体" w:hAnsi="黑体" w:eastAsia="黑体" w:cs="黑体"/>
          <w:color w:val="auto"/>
          <w:kern w:val="0"/>
          <w:sz w:val="32"/>
          <w:szCs w:val="32"/>
          <w:u w:val="none"/>
          <w:lang w:eastAsia="zh-CN"/>
        </w:rPr>
        <w:t>二十</w:t>
      </w:r>
      <w:r>
        <w:rPr>
          <w:rFonts w:hint="eastAsia" w:ascii="黑体" w:hAnsi="黑体" w:eastAsia="黑体" w:cs="黑体"/>
          <w:color w:val="auto"/>
          <w:kern w:val="0"/>
          <w:sz w:val="32"/>
          <w:szCs w:val="32"/>
          <w:u w:val="none"/>
        </w:rPr>
        <w:t>条</w:t>
      </w:r>
      <w:r>
        <w:rPr>
          <w:rFonts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rPr>
        <w:t>风险准备金补偿金额，</w:t>
      </w:r>
      <w:r>
        <w:rPr>
          <w:rFonts w:hint="eastAsia" w:ascii="仿宋_GB2312" w:hAnsi="仿宋_GB2312" w:eastAsia="仿宋_GB2312" w:cs="仿宋_GB2312"/>
          <w:color w:val="auto"/>
          <w:kern w:val="0"/>
          <w:sz w:val="32"/>
          <w:szCs w:val="32"/>
          <w:highlight w:val="none"/>
          <w:u w:val="none"/>
          <w:shd w:val="clear" w:color="auto" w:fill="auto"/>
        </w:rPr>
        <w:t>以贷款的风险分摊金额为准，以风险准备金资金池总额为限</w:t>
      </w:r>
      <w:r>
        <w:rPr>
          <w:rFonts w:hint="eastAsia" w:ascii="仿宋_GB2312" w:hAnsi="仿宋_GB2312" w:eastAsia="仿宋_GB2312" w:cs="仿宋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u w:val="none"/>
          <w:shd w:val="clear" w:color="auto" w:fill="auto"/>
        </w:rPr>
        <w:t>合作银行发放贷款</w:t>
      </w:r>
      <w:r>
        <w:rPr>
          <w:rFonts w:hint="eastAsia" w:ascii="仿宋_GB2312" w:hAnsi="仿宋_GB2312" w:eastAsia="仿宋_GB2312" w:cs="仿宋_GB2312"/>
          <w:color w:val="auto"/>
          <w:kern w:val="0"/>
          <w:sz w:val="32"/>
          <w:szCs w:val="32"/>
          <w:u w:val="none"/>
          <w:shd w:val="clear" w:color="auto" w:fill="auto"/>
          <w:lang w:eastAsia="zh-CN"/>
        </w:rPr>
        <w:t>金</w:t>
      </w:r>
      <w:r>
        <w:rPr>
          <w:rFonts w:hint="eastAsia" w:ascii="仿宋_GB2312" w:hAnsi="仿宋_GB2312" w:eastAsia="仿宋_GB2312" w:cs="仿宋_GB2312"/>
          <w:color w:val="auto"/>
          <w:kern w:val="0"/>
          <w:sz w:val="32"/>
          <w:szCs w:val="32"/>
          <w:u w:val="none"/>
          <w:shd w:val="clear" w:color="auto" w:fill="auto"/>
        </w:rPr>
        <w:t>额超过备案</w:t>
      </w:r>
      <w:r>
        <w:rPr>
          <w:rFonts w:hint="eastAsia" w:ascii="仿宋_GB2312" w:hAnsi="仿宋_GB2312" w:eastAsia="仿宋_GB2312" w:cs="仿宋_GB2312"/>
          <w:color w:val="auto"/>
          <w:kern w:val="0"/>
          <w:sz w:val="32"/>
          <w:szCs w:val="32"/>
          <w:u w:val="none"/>
          <w:shd w:val="clear" w:color="auto" w:fill="auto"/>
          <w:lang w:eastAsia="zh-CN"/>
        </w:rPr>
        <w:t>金</w:t>
      </w:r>
      <w:r>
        <w:rPr>
          <w:rFonts w:hint="eastAsia" w:ascii="仿宋_GB2312" w:hAnsi="仿宋_GB2312" w:eastAsia="仿宋_GB2312" w:cs="仿宋_GB2312"/>
          <w:color w:val="auto"/>
          <w:kern w:val="0"/>
          <w:sz w:val="32"/>
          <w:szCs w:val="32"/>
          <w:u w:val="none"/>
          <w:shd w:val="clear" w:color="auto" w:fill="auto"/>
        </w:rPr>
        <w:t>额</w:t>
      </w:r>
      <w:r>
        <w:rPr>
          <w:rFonts w:hint="eastAsia" w:ascii="仿宋_GB2312" w:hAnsi="仿宋_GB2312" w:eastAsia="仿宋_GB2312" w:cs="仿宋_GB2312"/>
          <w:color w:val="auto"/>
          <w:kern w:val="0"/>
          <w:sz w:val="32"/>
          <w:szCs w:val="32"/>
          <w:u w:val="none"/>
        </w:rPr>
        <w:t>，超出部分由该银行自行承担风险。</w:t>
      </w:r>
    </w:p>
    <w:p>
      <w:pPr>
        <w:pStyle w:val="7"/>
        <w:spacing w:line="574" w:lineRule="exact"/>
        <w:ind w:firstLine="640"/>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一</w:t>
      </w:r>
      <w:r>
        <w:rPr>
          <w:rFonts w:hint="eastAsia" w:ascii="黑体" w:hAnsi="黑体" w:eastAsia="黑体" w:cs="黑体"/>
          <w:color w:val="auto"/>
          <w:kern w:val="0"/>
          <w:sz w:val="32"/>
          <w:szCs w:val="32"/>
          <w:u w:val="none"/>
        </w:rPr>
        <w:t xml:space="preserve">条  </w:t>
      </w:r>
      <w:r>
        <w:rPr>
          <w:rFonts w:hint="eastAsia" w:ascii="仿宋_GB2312" w:hAnsi="仿宋_GB2312" w:eastAsia="仿宋_GB2312" w:cs="仿宋_GB2312"/>
          <w:color w:val="auto"/>
          <w:sz w:val="32"/>
          <w:szCs w:val="32"/>
          <w:u w:val="none"/>
        </w:rPr>
        <w:t>受托管理机构支付的风险补偿金是对合作银行的风险补偿，不能视为代借款人履行还款义务，不影响合作银行与企业之间的债权债务金额及担保物权金额，借款人仍有义务向合作银行偿还全部贷款本息，合作银行有权就全部欠款向借款人提起诉讼或仲裁。合作银行收回欠款后，另行协商风险准备金退款事宜，与借款人无关。受托管理机构应在与合作银行签订的《合作协议》中明确，合作银行应在与企业签订的《借款合同》中明确。</w:t>
      </w:r>
    </w:p>
    <w:p>
      <w:pPr>
        <w:adjustRightInd w:val="0"/>
        <w:spacing w:line="574" w:lineRule="exact"/>
        <w:ind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受托管理机构履行补偿责任后，由合作银行向借款人进行追索及执行资产保全。</w:t>
      </w:r>
    </w:p>
    <w:p>
      <w:pPr>
        <w:adjustRightInd w:val="0"/>
        <w:spacing w:line="574" w:lineRule="exact"/>
        <w:ind w:firstLine="640" w:firstLineChars="200"/>
        <w:rPr>
          <w:rFonts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u w:val="none"/>
        </w:rPr>
        <w:t>合作银行需要提起诉讼</w:t>
      </w:r>
      <w:r>
        <w:rPr>
          <w:rFonts w:hint="eastAsia" w:ascii="仿宋_GB2312" w:hAnsi="仿宋_GB2312" w:eastAsia="仿宋_GB2312" w:cs="仿宋_GB2312"/>
          <w:color w:val="auto"/>
          <w:kern w:val="0"/>
          <w:sz w:val="32"/>
          <w:szCs w:val="32"/>
          <w:u w:val="none"/>
        </w:rPr>
        <w:t>时，应事先书面告知市科技局和火炬区管委会，在借款人有财产可以执行的情况下，有权立即向法院申请保全其财产，受托管理机构对此予以协助</w:t>
      </w:r>
      <w:r>
        <w:rPr>
          <w:rFonts w:hint="eastAsia" w:ascii="仿宋_GB2312" w:hAnsi="仿宋_GB2312" w:eastAsia="仿宋_GB2312" w:cs="仿宋_GB2312"/>
          <w:snapToGrid w:val="0"/>
          <w:color w:val="auto"/>
          <w:kern w:val="0"/>
          <w:sz w:val="32"/>
          <w:szCs w:val="32"/>
          <w:u w:val="none"/>
        </w:rPr>
        <w:t>。</w:t>
      </w:r>
    </w:p>
    <w:p>
      <w:pPr>
        <w:adjustRightInd w:val="0"/>
        <w:spacing w:line="574" w:lineRule="exact"/>
        <w:ind w:firstLine="640" w:firstLineChars="200"/>
        <w:rPr>
          <w:rFonts w:hint="eastAsia" w:ascii="黑体" w:hAnsi="黑体" w:eastAsia="黑体" w:cs="黑体"/>
          <w:color w:val="auto"/>
          <w:kern w:val="0"/>
          <w:sz w:val="32"/>
          <w:szCs w:val="32"/>
          <w:u w:val="none"/>
        </w:rPr>
      </w:pPr>
      <w:r>
        <w:rPr>
          <w:rFonts w:hint="eastAsia" w:ascii="仿宋_GB2312" w:hAnsi="仿宋_GB2312" w:eastAsia="仿宋_GB2312" w:cs="仿宋_GB2312"/>
          <w:snapToGrid w:val="0"/>
          <w:color w:val="auto"/>
          <w:kern w:val="0"/>
          <w:sz w:val="32"/>
          <w:szCs w:val="32"/>
          <w:u w:val="none"/>
        </w:rPr>
        <w:t>追索回的资金或借款人恢复还款收回的资金在抵扣追索费用后，先按风险分摊比例偿还合作银行债权及风险准备金资金池的承担金额，剩余部分补回借款人承担损失。</w:t>
      </w:r>
    </w:p>
    <w:p>
      <w:pPr>
        <w:adjustRightInd w:val="0"/>
        <w:spacing w:line="574" w:lineRule="exact"/>
        <w:ind w:firstLine="640" w:firstLineChars="200"/>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 xml:space="preserve">条  </w:t>
      </w:r>
      <w:r>
        <w:rPr>
          <w:rFonts w:hint="eastAsia" w:ascii="仿宋_GB2312" w:hAnsi="仿宋_GB2312" w:eastAsia="仿宋_GB2312" w:cs="仿宋_GB2312"/>
          <w:color w:val="auto"/>
          <w:kern w:val="0"/>
          <w:sz w:val="32"/>
          <w:szCs w:val="32"/>
          <w:u w:val="none"/>
        </w:rPr>
        <w:t>经法院依法处置贷款抵（质）押物并对借款人和担保人强制执行后，借款人和担保人均无可再执行财产或法院裁定执行程序终结或终止或中止后，仍无法收回的不良贷款净损失，按以下方式进行处理：</w:t>
      </w:r>
    </w:p>
    <w:p>
      <w:pPr>
        <w:widowControl/>
        <w:spacing w:line="574" w:lineRule="exact"/>
        <w:ind w:right="25" w:rightChars="12" w:firstLine="640" w:firstLineChars="200"/>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（一）对产生净损失的贷款由合作银行出具报告，市科技局和火炬区管委会召开联席会议共同审批，审批通过后合作银行不再承担追偿责任。</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w:t>
      </w:r>
      <w:r>
        <w:rPr>
          <w:rFonts w:hint="eastAsia" w:ascii="仿宋_GB2312" w:hAnsi="仿宋_GB2312" w:eastAsia="仿宋_GB2312" w:cs="仿宋_GB2312"/>
          <w:color w:val="auto"/>
          <w:kern w:val="0"/>
          <w:sz w:val="32"/>
          <w:szCs w:val="32"/>
          <w:u w:val="none"/>
          <w:shd w:val="clear" w:color="auto" w:fill="auto"/>
        </w:rPr>
        <w:t>以审批时点作为终点，重新计算不良贷款净损失，按照规定的风险准备金补偿比例多退少补的原则，</w:t>
      </w:r>
      <w:r>
        <w:rPr>
          <w:rFonts w:hint="eastAsia" w:ascii="仿宋_GB2312" w:hAnsi="仿宋_GB2312" w:eastAsia="仿宋_GB2312" w:cs="仿宋_GB2312"/>
          <w:color w:val="auto"/>
          <w:kern w:val="0"/>
          <w:sz w:val="32"/>
          <w:szCs w:val="32"/>
          <w:highlight w:val="none"/>
          <w:u w:val="none"/>
          <w:shd w:val="clear" w:color="auto" w:fill="auto"/>
        </w:rPr>
        <w:t>由科技主管部门</w:t>
      </w:r>
      <w:r>
        <w:rPr>
          <w:rFonts w:hint="eastAsia" w:ascii="仿宋_GB2312" w:hAnsi="仿宋_GB2312" w:eastAsia="仿宋_GB2312" w:cs="仿宋_GB2312"/>
          <w:color w:val="auto"/>
          <w:kern w:val="0"/>
          <w:sz w:val="32"/>
          <w:szCs w:val="32"/>
          <w:highlight w:val="none"/>
          <w:u w:val="none"/>
          <w:shd w:val="clear" w:color="auto" w:fill="auto"/>
          <w:lang w:eastAsia="zh-CN"/>
        </w:rPr>
        <w:t>行文</w:t>
      </w:r>
      <w:r>
        <w:rPr>
          <w:rFonts w:hint="eastAsia" w:ascii="仿宋_GB2312" w:hAnsi="仿宋_GB2312" w:eastAsia="仿宋_GB2312" w:cs="仿宋_GB2312"/>
          <w:color w:val="auto"/>
          <w:kern w:val="0"/>
          <w:sz w:val="32"/>
          <w:szCs w:val="32"/>
          <w:highlight w:val="none"/>
          <w:u w:val="none"/>
          <w:shd w:val="clear" w:color="auto" w:fill="auto"/>
        </w:rPr>
        <w:t>批复</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核销各自贷款准备金损失部分。</w:t>
      </w:r>
    </w:p>
    <w:p>
      <w:pPr>
        <w:widowControl/>
        <w:spacing w:line="574" w:lineRule="exact"/>
        <w:ind w:right="25" w:rightChars="12" w:firstLine="640" w:firstLineChars="200"/>
        <w:rPr>
          <w:rFonts w:hint="eastAsia" w:ascii="仿宋_GB2312" w:hAnsi="仿宋_GB2312" w:eastAsia="仿宋_GB2312" w:cs="仿宋_GB2312"/>
          <w:color w:val="auto"/>
          <w:kern w:val="0"/>
          <w:sz w:val="32"/>
          <w:szCs w:val="32"/>
          <w:u w:val="none"/>
        </w:rPr>
      </w:pPr>
    </w:p>
    <w:p>
      <w:pPr>
        <w:spacing w:before="156" w:beforeLines="50" w:after="156" w:afterLines="50" w:line="574" w:lineRule="exact"/>
        <w:ind w:firstLine="321" w:firstLineChars="100"/>
        <w:jc w:val="center"/>
        <w:rPr>
          <w:rFonts w:ascii="黑体" w:hAnsi="黑体" w:eastAsia="黑体" w:cs="黑体"/>
          <w:b/>
          <w:bCs/>
          <w:color w:val="auto"/>
          <w:sz w:val="32"/>
          <w:szCs w:val="28"/>
          <w:u w:val="none"/>
        </w:rPr>
      </w:pPr>
      <w:r>
        <w:rPr>
          <w:rFonts w:hint="eastAsia" w:ascii="黑体" w:hAnsi="黑体" w:eastAsia="黑体" w:cs="黑体"/>
          <w:b/>
          <w:bCs/>
          <w:color w:val="auto"/>
          <w:sz w:val="32"/>
          <w:szCs w:val="32"/>
          <w:u w:val="none"/>
        </w:rPr>
        <w:t>第五章</w:t>
      </w:r>
      <w:r>
        <w:rPr>
          <w:rFonts w:ascii="黑体" w:hAnsi="黑体" w:eastAsia="黑体" w:cs="黑体"/>
          <w:b/>
          <w:bCs/>
          <w:color w:val="auto"/>
          <w:sz w:val="32"/>
          <w:szCs w:val="32"/>
          <w:u w:val="none"/>
        </w:rPr>
        <w:t xml:space="preserve">  </w:t>
      </w:r>
      <w:r>
        <w:rPr>
          <w:rFonts w:hint="eastAsia" w:ascii="黑体" w:hAnsi="黑体" w:eastAsia="黑体" w:cs="黑体"/>
          <w:b/>
          <w:bCs/>
          <w:color w:val="auto"/>
          <w:sz w:val="32"/>
          <w:szCs w:val="32"/>
          <w:u w:val="none"/>
        </w:rPr>
        <w:t>风险准备金监管</w:t>
      </w:r>
    </w:p>
    <w:p>
      <w:pPr>
        <w:widowControl/>
        <w:spacing w:line="574" w:lineRule="exact"/>
        <w:ind w:right="23" w:rightChars="11" w:firstLine="640" w:firstLineChars="200"/>
        <w:rPr>
          <w:rFonts w:ascii="仿宋_GB2312" w:hAnsi="仿宋_GB2312" w:eastAsia="仿宋_GB2312" w:cs="仿宋_GB2312"/>
          <w:color w:val="auto"/>
          <w:kern w:val="0"/>
          <w:sz w:val="32"/>
          <w:szCs w:val="28"/>
          <w:u w:val="none"/>
        </w:rPr>
      </w:pPr>
      <w:r>
        <w:rPr>
          <w:rFonts w:hint="eastAsia" w:ascii="黑体" w:hAnsi="黑体" w:eastAsia="黑体" w:cs="黑体"/>
          <w:color w:val="auto"/>
          <w:kern w:val="0"/>
          <w:sz w:val="32"/>
          <w:szCs w:val="28"/>
          <w:u w:val="none"/>
        </w:rPr>
        <w:t>第二十</w:t>
      </w:r>
      <w:r>
        <w:rPr>
          <w:rFonts w:hint="eastAsia" w:ascii="黑体" w:hAnsi="黑体" w:eastAsia="黑体" w:cs="黑体"/>
          <w:color w:val="auto"/>
          <w:kern w:val="0"/>
          <w:sz w:val="32"/>
          <w:szCs w:val="28"/>
          <w:u w:val="none"/>
          <w:lang w:eastAsia="zh-CN"/>
        </w:rPr>
        <w:t>三</w:t>
      </w:r>
      <w:r>
        <w:rPr>
          <w:rFonts w:hint="eastAsia" w:ascii="黑体" w:hAnsi="黑体" w:eastAsia="黑体" w:cs="黑体"/>
          <w:color w:val="auto"/>
          <w:kern w:val="0"/>
          <w:sz w:val="32"/>
          <w:szCs w:val="28"/>
          <w:u w:val="none"/>
        </w:rPr>
        <w:t>条</w:t>
      </w:r>
      <w:r>
        <w:rPr>
          <w:rFonts w:hint="eastAsia" w:ascii="仿宋_GB2312" w:hAnsi="仿宋_GB2312" w:eastAsia="仿宋_GB2312" w:cs="仿宋_GB2312"/>
          <w:color w:val="auto"/>
          <w:kern w:val="0"/>
          <w:sz w:val="32"/>
          <w:szCs w:val="28"/>
          <w:u w:val="none"/>
        </w:rPr>
        <w:t xml:space="preserve">  受托管理机构应设立专门的会计账目，对风险准备金的拨付和开支情况进行账务处理。</w:t>
      </w:r>
    </w:p>
    <w:p>
      <w:pPr>
        <w:widowControl/>
        <w:spacing w:line="574" w:lineRule="exact"/>
        <w:ind w:right="23" w:rightChars="11" w:firstLine="640" w:firstLineChars="200"/>
        <w:rPr>
          <w:rFonts w:ascii="仿宋_GB2312" w:hAnsi="仿宋_GB2312" w:eastAsia="仿宋_GB2312" w:cs="仿宋_GB2312"/>
          <w:color w:val="auto"/>
          <w:kern w:val="0"/>
          <w:sz w:val="32"/>
          <w:szCs w:val="28"/>
          <w:u w:val="none"/>
        </w:rPr>
      </w:pPr>
      <w:r>
        <w:rPr>
          <w:rFonts w:hint="eastAsia" w:ascii="黑体" w:hAnsi="黑体" w:eastAsia="黑体" w:cs="黑体"/>
          <w:color w:val="auto"/>
          <w:kern w:val="0"/>
          <w:sz w:val="32"/>
          <w:szCs w:val="28"/>
          <w:u w:val="none"/>
        </w:rPr>
        <w:t>第二十</w:t>
      </w:r>
      <w:r>
        <w:rPr>
          <w:rFonts w:hint="eastAsia" w:ascii="黑体" w:hAnsi="黑体" w:eastAsia="黑体" w:cs="黑体"/>
          <w:color w:val="auto"/>
          <w:kern w:val="0"/>
          <w:sz w:val="32"/>
          <w:szCs w:val="28"/>
          <w:u w:val="none"/>
          <w:lang w:eastAsia="zh-CN"/>
        </w:rPr>
        <w:t>四</w:t>
      </w:r>
      <w:r>
        <w:rPr>
          <w:rFonts w:hint="eastAsia" w:ascii="黑体" w:hAnsi="黑体" w:eastAsia="黑体" w:cs="黑体"/>
          <w:color w:val="auto"/>
          <w:kern w:val="0"/>
          <w:sz w:val="32"/>
          <w:szCs w:val="28"/>
          <w:u w:val="none"/>
        </w:rPr>
        <w:t>条</w:t>
      </w:r>
      <w:r>
        <w:rPr>
          <w:rFonts w:hint="eastAsia" w:ascii="仿宋_GB2312" w:hAnsi="仿宋_GB2312" w:eastAsia="仿宋_GB2312" w:cs="仿宋_GB2312"/>
          <w:color w:val="auto"/>
          <w:kern w:val="0"/>
          <w:sz w:val="32"/>
          <w:szCs w:val="28"/>
          <w:u w:val="none"/>
        </w:rPr>
        <w:t xml:space="preserve">  由省科技厅出资的风险准备金所产生的利息净收入纳入风险准备金；由市科技局和火炬区管委会出资的风险准备金所产生的利息净收入可作为受托管理机构受托管理本风险准备金项目的业务补贴，经市科技局和火炬区管委会同意后，由受托管理机构结算提取。</w:t>
      </w:r>
    </w:p>
    <w:p>
      <w:pPr>
        <w:widowControl/>
        <w:shd w:val="clear" w:color="auto" w:fill="auto"/>
        <w:spacing w:line="574" w:lineRule="exact"/>
        <w:ind w:right="23" w:rightChars="11" w:firstLine="640" w:firstLineChars="200"/>
        <w:rPr>
          <w:rFonts w:hint="eastAsia" w:ascii="黑体" w:hAnsi="黑体" w:eastAsia="黑体" w:cs="黑体"/>
          <w:color w:val="auto"/>
          <w:kern w:val="0"/>
          <w:sz w:val="32"/>
          <w:szCs w:val="28"/>
          <w:u w:val="none"/>
        </w:rPr>
      </w:pPr>
      <w:bookmarkStart w:id="0" w:name="_GoBack"/>
      <w:bookmarkEnd w:id="0"/>
      <w:r>
        <w:rPr>
          <w:rFonts w:hint="eastAsia" w:ascii="黑体" w:hAnsi="黑体" w:eastAsia="黑体" w:cs="黑体"/>
          <w:color w:val="auto"/>
          <w:kern w:val="0"/>
          <w:sz w:val="32"/>
          <w:szCs w:val="28"/>
          <w:u w:val="none"/>
        </w:rPr>
        <w:t>第二十</w:t>
      </w:r>
      <w:r>
        <w:rPr>
          <w:rFonts w:hint="eastAsia" w:ascii="黑体" w:hAnsi="黑体" w:eastAsia="黑体" w:cs="黑体"/>
          <w:color w:val="auto"/>
          <w:kern w:val="0"/>
          <w:sz w:val="32"/>
          <w:szCs w:val="28"/>
          <w:u w:val="none"/>
          <w:lang w:eastAsia="zh-CN"/>
        </w:rPr>
        <w:t>五</w:t>
      </w:r>
      <w:r>
        <w:rPr>
          <w:rFonts w:hint="eastAsia" w:ascii="黑体" w:hAnsi="黑体" w:eastAsia="黑体" w:cs="黑体"/>
          <w:color w:val="auto"/>
          <w:kern w:val="0"/>
          <w:sz w:val="32"/>
          <w:szCs w:val="28"/>
          <w:u w:val="none"/>
        </w:rPr>
        <w:t>条</w:t>
      </w:r>
      <w:r>
        <w:rPr>
          <w:rFonts w:ascii="仿宋_GB2312" w:hAnsi="仿宋_GB2312" w:eastAsia="仿宋_GB2312" w:cs="仿宋_GB2312"/>
          <w:color w:val="auto"/>
          <w:kern w:val="0"/>
          <w:sz w:val="32"/>
          <w:szCs w:val="28"/>
          <w:u w:val="none"/>
        </w:rPr>
        <w:t xml:space="preserve">  </w:t>
      </w:r>
      <w:r>
        <w:rPr>
          <w:rFonts w:hint="eastAsia" w:ascii="仿宋_GB2312" w:hAnsi="仿宋_GB2312" w:eastAsia="仿宋_GB2312" w:cs="仿宋_GB2312"/>
          <w:color w:val="auto"/>
          <w:kern w:val="0"/>
          <w:sz w:val="32"/>
          <w:szCs w:val="28"/>
          <w:u w:val="none"/>
        </w:rPr>
        <w:t>市科技局对风险准备金</w:t>
      </w:r>
      <w:r>
        <w:rPr>
          <w:rFonts w:hint="eastAsia" w:ascii="仿宋_GB2312" w:hAnsi="仿宋_GB2312" w:eastAsia="仿宋_GB2312" w:cs="仿宋_GB2312"/>
          <w:color w:val="auto"/>
          <w:kern w:val="0"/>
          <w:sz w:val="32"/>
          <w:szCs w:val="28"/>
          <w:u w:val="none"/>
          <w:lang w:eastAsia="zh-CN"/>
        </w:rPr>
        <w:t>整体运作情况</w:t>
      </w:r>
      <w:r>
        <w:rPr>
          <w:rFonts w:hint="eastAsia" w:ascii="仿宋_GB2312" w:hAnsi="仿宋_GB2312" w:eastAsia="仿宋_GB2312" w:cs="仿宋_GB2312"/>
          <w:color w:val="auto"/>
          <w:kern w:val="0"/>
          <w:sz w:val="32"/>
          <w:szCs w:val="28"/>
          <w:u w:val="none"/>
        </w:rPr>
        <w:t>实施监督检查，建立项目</w:t>
      </w:r>
      <w:r>
        <w:rPr>
          <w:rFonts w:hint="eastAsia" w:ascii="仿宋_GB2312" w:hAnsi="仿宋_GB2312" w:eastAsia="仿宋_GB2312" w:cs="仿宋_GB2312"/>
          <w:color w:val="auto"/>
          <w:kern w:val="0"/>
          <w:sz w:val="32"/>
          <w:szCs w:val="28"/>
          <w:u w:val="none"/>
          <w:lang w:eastAsia="zh-CN"/>
        </w:rPr>
        <w:t>绩效评价机制</w:t>
      </w:r>
      <w:r>
        <w:rPr>
          <w:rFonts w:hint="eastAsia" w:ascii="仿宋_GB2312" w:hAnsi="仿宋_GB2312" w:eastAsia="仿宋_GB2312" w:cs="仿宋_GB2312"/>
          <w:color w:val="auto"/>
          <w:kern w:val="0"/>
          <w:sz w:val="32"/>
          <w:szCs w:val="28"/>
          <w:u w:val="none"/>
        </w:rPr>
        <w:t>，委托专业机构开展绩效评价。</w:t>
      </w:r>
    </w:p>
    <w:p>
      <w:pPr>
        <w:widowControl/>
        <w:spacing w:line="574" w:lineRule="exact"/>
        <w:ind w:right="23" w:rightChars="11" w:firstLine="640" w:firstLineChars="200"/>
        <w:rPr>
          <w:rFonts w:ascii="仿宋_GB2312" w:hAnsi="仿宋_GB2312" w:eastAsia="仿宋_GB2312" w:cs="仿宋_GB2312"/>
          <w:color w:val="auto"/>
          <w:kern w:val="0"/>
          <w:sz w:val="32"/>
          <w:szCs w:val="28"/>
          <w:u w:val="none"/>
        </w:rPr>
      </w:pPr>
      <w:r>
        <w:rPr>
          <w:rFonts w:hint="eastAsia" w:ascii="黑体" w:hAnsi="黑体" w:eastAsia="黑体" w:cs="黑体"/>
          <w:color w:val="auto"/>
          <w:kern w:val="0"/>
          <w:sz w:val="32"/>
          <w:szCs w:val="28"/>
          <w:u w:val="none"/>
        </w:rPr>
        <w:t>第二十</w:t>
      </w:r>
      <w:r>
        <w:rPr>
          <w:rFonts w:hint="eastAsia" w:ascii="黑体" w:hAnsi="黑体" w:eastAsia="黑体" w:cs="黑体"/>
          <w:color w:val="auto"/>
          <w:kern w:val="0"/>
          <w:sz w:val="32"/>
          <w:szCs w:val="28"/>
          <w:u w:val="none"/>
          <w:lang w:val="en-US" w:eastAsia="zh-CN"/>
        </w:rPr>
        <w:t>六</w:t>
      </w:r>
      <w:r>
        <w:rPr>
          <w:rFonts w:hint="eastAsia" w:ascii="黑体" w:hAnsi="黑体" w:eastAsia="黑体" w:cs="黑体"/>
          <w:color w:val="auto"/>
          <w:kern w:val="0"/>
          <w:sz w:val="32"/>
          <w:szCs w:val="28"/>
          <w:u w:val="none"/>
        </w:rPr>
        <w:t xml:space="preserve">条  </w:t>
      </w:r>
      <w:r>
        <w:rPr>
          <w:rFonts w:hint="eastAsia" w:ascii="仿宋_GB2312" w:hAnsi="仿宋_GB2312" w:eastAsia="仿宋_GB2312" w:cs="仿宋_GB2312"/>
          <w:color w:val="auto"/>
          <w:kern w:val="0"/>
          <w:sz w:val="32"/>
          <w:szCs w:val="28"/>
          <w:u w:val="none"/>
        </w:rPr>
        <w:t>当合作银行不良贷款率达</w:t>
      </w:r>
      <w:r>
        <w:rPr>
          <w:rFonts w:ascii="仿宋_GB2312" w:hAnsi="仿宋_GB2312" w:eastAsia="仿宋_GB2312" w:cs="仿宋_GB2312"/>
          <w:color w:val="auto"/>
          <w:kern w:val="0"/>
          <w:sz w:val="32"/>
          <w:szCs w:val="28"/>
          <w:u w:val="none"/>
        </w:rPr>
        <w:t>3%</w:t>
      </w:r>
      <w:r>
        <w:rPr>
          <w:rFonts w:hint="eastAsia" w:ascii="仿宋_GB2312" w:hAnsi="仿宋_GB2312" w:eastAsia="仿宋_GB2312" w:cs="仿宋_GB2312"/>
          <w:color w:val="auto"/>
          <w:kern w:val="0"/>
          <w:sz w:val="32"/>
          <w:szCs w:val="28"/>
          <w:u w:val="none"/>
        </w:rPr>
        <w:t>以上（含</w:t>
      </w:r>
      <w:r>
        <w:rPr>
          <w:rFonts w:ascii="仿宋_GB2312" w:hAnsi="仿宋_GB2312" w:eastAsia="仿宋_GB2312" w:cs="仿宋_GB2312"/>
          <w:color w:val="auto"/>
          <w:kern w:val="0"/>
          <w:sz w:val="32"/>
          <w:szCs w:val="28"/>
          <w:u w:val="none"/>
        </w:rPr>
        <w:t>3%</w:t>
      </w:r>
      <w:r>
        <w:rPr>
          <w:rFonts w:hint="eastAsia" w:ascii="仿宋_GB2312" w:hAnsi="仿宋_GB2312" w:eastAsia="仿宋_GB2312" w:cs="仿宋_GB2312"/>
          <w:color w:val="auto"/>
          <w:kern w:val="0"/>
          <w:sz w:val="32"/>
          <w:szCs w:val="28"/>
          <w:u w:val="none"/>
        </w:rPr>
        <w:t>），经联席会议后，有权暂停科技信贷业务；当合作银行不良贷款率下降到</w:t>
      </w:r>
      <w:r>
        <w:rPr>
          <w:rFonts w:ascii="仿宋_GB2312" w:hAnsi="仿宋_GB2312" w:eastAsia="仿宋_GB2312" w:cs="仿宋_GB2312"/>
          <w:color w:val="auto"/>
          <w:kern w:val="0"/>
          <w:sz w:val="32"/>
          <w:szCs w:val="28"/>
          <w:u w:val="none"/>
        </w:rPr>
        <w:t>3%</w:t>
      </w:r>
      <w:r>
        <w:rPr>
          <w:rFonts w:hint="eastAsia" w:ascii="仿宋_GB2312" w:hAnsi="仿宋_GB2312" w:eastAsia="仿宋_GB2312" w:cs="仿宋_GB2312"/>
          <w:color w:val="auto"/>
          <w:kern w:val="0"/>
          <w:sz w:val="32"/>
          <w:szCs w:val="28"/>
          <w:u w:val="none"/>
        </w:rPr>
        <w:t>以下，可恢复科技信贷业务。</w:t>
      </w:r>
    </w:p>
    <w:p>
      <w:pPr>
        <w:widowControl/>
        <w:spacing w:line="574" w:lineRule="exact"/>
        <w:ind w:right="23" w:rightChars="11" w:firstLine="640" w:firstLineChars="200"/>
        <w:rPr>
          <w:rFonts w:hint="eastAsia" w:ascii="仿宋_GB2312" w:hAnsi="仿宋_GB2312" w:eastAsia="仿宋_GB2312" w:cs="仿宋_GB2312"/>
          <w:color w:val="auto"/>
          <w:kern w:val="0"/>
          <w:sz w:val="32"/>
          <w:szCs w:val="28"/>
          <w:u w:val="none"/>
        </w:rPr>
      </w:pPr>
      <w:r>
        <w:rPr>
          <w:rFonts w:hint="eastAsia" w:ascii="仿宋_GB2312" w:hAnsi="仿宋_GB2312" w:eastAsia="仿宋_GB2312" w:cs="仿宋_GB2312"/>
          <w:color w:val="auto"/>
          <w:kern w:val="0"/>
          <w:sz w:val="32"/>
          <w:szCs w:val="28"/>
          <w:u w:val="none"/>
        </w:rPr>
        <w:t>当发生不良贷款，风险准备金资金池承担的累计补偿金额达到风险准备金总规模的</w:t>
      </w:r>
      <w:r>
        <w:rPr>
          <w:rFonts w:ascii="仿宋_GB2312" w:hAnsi="仿宋_GB2312" w:eastAsia="仿宋_GB2312" w:cs="仿宋_GB2312"/>
          <w:color w:val="auto"/>
          <w:kern w:val="0"/>
          <w:sz w:val="32"/>
          <w:szCs w:val="28"/>
          <w:u w:val="none"/>
        </w:rPr>
        <w:t>50%</w:t>
      </w:r>
      <w:r>
        <w:rPr>
          <w:rFonts w:hint="eastAsia" w:ascii="仿宋_GB2312" w:hAnsi="仿宋_GB2312" w:eastAsia="仿宋_GB2312" w:cs="仿宋_GB2312"/>
          <w:color w:val="auto"/>
          <w:kern w:val="0"/>
          <w:sz w:val="32"/>
          <w:szCs w:val="28"/>
          <w:u w:val="none"/>
        </w:rPr>
        <w:t>以上（含</w:t>
      </w:r>
      <w:r>
        <w:rPr>
          <w:rFonts w:ascii="仿宋_GB2312" w:hAnsi="仿宋_GB2312" w:eastAsia="仿宋_GB2312" w:cs="仿宋_GB2312"/>
          <w:color w:val="auto"/>
          <w:kern w:val="0"/>
          <w:sz w:val="32"/>
          <w:szCs w:val="28"/>
          <w:u w:val="none"/>
        </w:rPr>
        <w:t>50%</w:t>
      </w:r>
      <w:r>
        <w:rPr>
          <w:rFonts w:hint="eastAsia" w:ascii="仿宋_GB2312" w:hAnsi="仿宋_GB2312" w:eastAsia="仿宋_GB2312" w:cs="仿宋_GB2312"/>
          <w:color w:val="auto"/>
          <w:kern w:val="0"/>
          <w:sz w:val="32"/>
          <w:szCs w:val="28"/>
          <w:u w:val="none"/>
        </w:rPr>
        <w:t>），暂停科技信贷业务</w:t>
      </w:r>
      <w:r>
        <w:rPr>
          <w:rFonts w:ascii="仿宋_GB2312" w:hAnsi="仿宋_GB2312" w:eastAsia="仿宋_GB2312" w:cs="仿宋_GB2312"/>
          <w:color w:val="auto"/>
          <w:kern w:val="0"/>
          <w:sz w:val="32"/>
          <w:szCs w:val="28"/>
          <w:u w:val="none"/>
        </w:rPr>
        <w:t>3</w:t>
      </w:r>
      <w:r>
        <w:rPr>
          <w:rFonts w:hint="eastAsia" w:ascii="仿宋_GB2312" w:hAnsi="仿宋_GB2312" w:eastAsia="仿宋_GB2312" w:cs="仿宋_GB2312"/>
          <w:color w:val="auto"/>
          <w:kern w:val="0"/>
          <w:sz w:val="32"/>
          <w:szCs w:val="28"/>
          <w:u w:val="none"/>
        </w:rPr>
        <w:t>个月；经整改，可恢复科技信贷业务。</w:t>
      </w:r>
    </w:p>
    <w:p>
      <w:pPr>
        <w:widowControl/>
        <w:spacing w:line="574" w:lineRule="exact"/>
        <w:ind w:right="23" w:rightChars="11" w:firstLine="640" w:firstLineChars="200"/>
        <w:rPr>
          <w:rFonts w:hint="eastAsia" w:ascii="黑体" w:hAnsi="黑体" w:eastAsia="黑体" w:cs="黑体"/>
          <w:color w:val="auto"/>
          <w:kern w:val="0"/>
          <w:sz w:val="32"/>
          <w:szCs w:val="28"/>
          <w:u w:val="none"/>
        </w:rPr>
      </w:pPr>
      <w:r>
        <w:rPr>
          <w:rFonts w:hint="eastAsia" w:ascii="黑体" w:hAnsi="黑体" w:eastAsia="黑体" w:cs="黑体"/>
          <w:color w:val="auto"/>
          <w:kern w:val="0"/>
          <w:sz w:val="32"/>
          <w:szCs w:val="28"/>
          <w:u w:val="none"/>
        </w:rPr>
        <w:t>第二十</w:t>
      </w:r>
      <w:r>
        <w:rPr>
          <w:rFonts w:hint="eastAsia" w:ascii="黑体" w:hAnsi="黑体" w:eastAsia="黑体" w:cs="黑体"/>
          <w:color w:val="auto"/>
          <w:kern w:val="0"/>
          <w:sz w:val="32"/>
          <w:szCs w:val="28"/>
          <w:u w:val="none"/>
          <w:lang w:val="en-US" w:eastAsia="zh-CN"/>
        </w:rPr>
        <w:t>七</w:t>
      </w:r>
      <w:r>
        <w:rPr>
          <w:rFonts w:hint="eastAsia" w:ascii="黑体" w:hAnsi="黑体" w:eastAsia="黑体" w:cs="黑体"/>
          <w:color w:val="auto"/>
          <w:kern w:val="0"/>
          <w:sz w:val="32"/>
          <w:szCs w:val="28"/>
          <w:u w:val="none"/>
        </w:rPr>
        <w:t xml:space="preserve">条  </w:t>
      </w:r>
      <w:r>
        <w:rPr>
          <w:rFonts w:hint="eastAsia" w:ascii="仿宋_GB2312" w:hAnsi="仿宋_GB2312" w:eastAsia="仿宋_GB2312" w:cs="仿宋_GB2312"/>
          <w:color w:val="auto"/>
          <w:kern w:val="0"/>
          <w:sz w:val="32"/>
          <w:szCs w:val="28"/>
          <w:u w:val="none"/>
        </w:rPr>
        <w:t>合作银行连续</w:t>
      </w:r>
      <w:r>
        <w:rPr>
          <w:rFonts w:ascii="仿宋_GB2312" w:hAnsi="仿宋_GB2312" w:eastAsia="仿宋_GB2312" w:cs="仿宋_GB2312"/>
          <w:color w:val="auto"/>
          <w:kern w:val="0"/>
          <w:sz w:val="32"/>
          <w:szCs w:val="28"/>
          <w:u w:val="none"/>
        </w:rPr>
        <w:t>6</w:t>
      </w:r>
      <w:r>
        <w:rPr>
          <w:rFonts w:hint="eastAsia" w:ascii="仿宋_GB2312" w:hAnsi="仿宋_GB2312" w:eastAsia="仿宋_GB2312" w:cs="仿宋_GB2312"/>
          <w:color w:val="auto"/>
          <w:kern w:val="0"/>
          <w:sz w:val="32"/>
          <w:szCs w:val="28"/>
          <w:u w:val="none"/>
        </w:rPr>
        <w:t>个月未对新增贷款企业开展科技信贷业务的，经市科技局和火炬区管委会协商后，有权终止与合作银行的本项目业务合作关系。</w:t>
      </w:r>
    </w:p>
    <w:p>
      <w:pPr>
        <w:widowControl/>
        <w:spacing w:line="574" w:lineRule="exact"/>
        <w:ind w:right="23" w:rightChars="11" w:firstLine="640" w:firstLineChars="200"/>
        <w:rPr>
          <w:rFonts w:ascii="仿宋_GB2312" w:hAnsi="仿宋_GB2312" w:eastAsia="仿宋_GB2312" w:cs="仿宋_GB2312"/>
          <w:color w:val="auto"/>
          <w:sz w:val="32"/>
          <w:szCs w:val="28"/>
          <w:u w:val="none"/>
        </w:rPr>
      </w:pPr>
      <w:r>
        <w:rPr>
          <w:rFonts w:hint="eastAsia" w:ascii="黑体" w:hAnsi="黑体" w:eastAsia="黑体" w:cs="黑体"/>
          <w:color w:val="auto"/>
          <w:kern w:val="0"/>
          <w:sz w:val="32"/>
          <w:szCs w:val="28"/>
          <w:u w:val="none"/>
        </w:rPr>
        <w:t>第</w:t>
      </w:r>
      <w:r>
        <w:rPr>
          <w:rFonts w:hint="eastAsia" w:ascii="黑体" w:hAnsi="黑体" w:eastAsia="黑体" w:cs="黑体"/>
          <w:color w:val="auto"/>
          <w:kern w:val="0"/>
          <w:sz w:val="32"/>
          <w:szCs w:val="28"/>
          <w:u w:val="none"/>
          <w:lang w:val="en-US" w:eastAsia="zh-CN"/>
        </w:rPr>
        <w:t>二十八</w:t>
      </w:r>
      <w:r>
        <w:rPr>
          <w:rFonts w:hint="eastAsia" w:ascii="黑体" w:hAnsi="黑体" w:eastAsia="黑体" w:cs="黑体"/>
          <w:color w:val="auto"/>
          <w:kern w:val="0"/>
          <w:sz w:val="32"/>
          <w:szCs w:val="28"/>
          <w:u w:val="none"/>
        </w:rPr>
        <w:t xml:space="preserve">条  </w:t>
      </w:r>
      <w:r>
        <w:rPr>
          <w:rFonts w:hint="eastAsia" w:ascii="仿宋_GB2312" w:hAnsi="仿宋_GB2312" w:eastAsia="仿宋_GB2312" w:cs="仿宋_GB2312"/>
          <w:color w:val="auto"/>
          <w:kern w:val="0"/>
          <w:sz w:val="32"/>
          <w:szCs w:val="28"/>
          <w:u w:val="none"/>
        </w:rPr>
        <w:t>加强信息沟通和管理协调，建立联席会议制度，研究解决实施过程中的有关问题、商讨重大事项、协商解决方案，以及处理临时出现重大特殊情况。</w:t>
      </w:r>
    </w:p>
    <w:p>
      <w:pPr>
        <w:widowControl/>
        <w:spacing w:line="574" w:lineRule="exact"/>
        <w:ind w:right="23" w:rightChars="11" w:firstLine="640" w:firstLineChars="200"/>
        <w:rPr>
          <w:rFonts w:hint="eastAsia" w:ascii="仿宋_GB2312" w:hAnsi="仿宋_GB2312" w:eastAsia="仿宋_GB2312" w:cs="仿宋_GB2312"/>
          <w:color w:val="auto"/>
          <w:kern w:val="0"/>
          <w:sz w:val="32"/>
          <w:szCs w:val="28"/>
          <w:u w:val="none"/>
        </w:rPr>
      </w:pPr>
      <w:r>
        <w:rPr>
          <w:rFonts w:hint="eastAsia" w:ascii="黑体" w:hAnsi="黑体" w:eastAsia="黑体" w:cs="黑体"/>
          <w:color w:val="auto"/>
          <w:kern w:val="0"/>
          <w:sz w:val="32"/>
          <w:szCs w:val="28"/>
          <w:u w:val="none"/>
        </w:rPr>
        <w:t>第</w:t>
      </w:r>
      <w:r>
        <w:rPr>
          <w:rFonts w:hint="eastAsia" w:ascii="黑体" w:hAnsi="黑体" w:eastAsia="黑体" w:cs="黑体"/>
          <w:color w:val="auto"/>
          <w:kern w:val="0"/>
          <w:sz w:val="32"/>
          <w:szCs w:val="28"/>
          <w:u w:val="none"/>
          <w:lang w:val="en-US" w:eastAsia="zh-CN"/>
        </w:rPr>
        <w:t>二十九</w:t>
      </w:r>
      <w:r>
        <w:rPr>
          <w:rFonts w:hint="eastAsia" w:ascii="黑体" w:hAnsi="黑体" w:eastAsia="黑体" w:cs="黑体"/>
          <w:color w:val="auto"/>
          <w:kern w:val="0"/>
          <w:sz w:val="32"/>
          <w:szCs w:val="28"/>
          <w:u w:val="none"/>
        </w:rPr>
        <w:t>条</w:t>
      </w:r>
      <w:r>
        <w:rPr>
          <w:rFonts w:hint="eastAsia" w:ascii="仿宋_GB2312" w:hAnsi="仿宋_GB2312" w:eastAsia="仿宋_GB2312" w:cs="仿宋_GB2312"/>
          <w:color w:val="auto"/>
          <w:kern w:val="0"/>
          <w:sz w:val="32"/>
          <w:szCs w:val="28"/>
          <w:u w:val="none"/>
        </w:rPr>
        <w:t xml:space="preserve">  对有弄虚作假、挪用风险准备金等行为的，除按《财政违法行为处罚条例》对有关款项予以追回外，一并追究责任单位和责任人员的法纪责任。</w:t>
      </w:r>
    </w:p>
    <w:p>
      <w:pPr>
        <w:widowControl/>
        <w:spacing w:line="574" w:lineRule="exact"/>
        <w:ind w:right="23" w:rightChars="11" w:firstLine="640" w:firstLineChars="200"/>
        <w:rPr>
          <w:rFonts w:hint="eastAsia" w:ascii="仿宋_GB2312" w:hAnsi="仿宋_GB2312" w:eastAsia="仿宋_GB2312" w:cs="仿宋_GB2312"/>
          <w:color w:val="auto"/>
          <w:kern w:val="0"/>
          <w:sz w:val="32"/>
          <w:szCs w:val="28"/>
          <w:u w:val="none"/>
        </w:rPr>
      </w:pPr>
    </w:p>
    <w:p>
      <w:pPr>
        <w:spacing w:before="156" w:beforeLines="50" w:after="156" w:afterLines="50" w:line="574" w:lineRule="exact"/>
        <w:jc w:val="center"/>
        <w:rPr>
          <w:rFonts w:ascii="黑体" w:hAnsi="黑体" w:eastAsia="黑体" w:cs="黑体"/>
          <w:b/>
          <w:bCs/>
          <w:color w:val="auto"/>
          <w:sz w:val="32"/>
          <w:szCs w:val="28"/>
          <w:u w:val="none"/>
        </w:rPr>
      </w:pPr>
      <w:r>
        <w:rPr>
          <w:rFonts w:hint="eastAsia" w:ascii="黑体" w:hAnsi="黑体" w:eastAsia="黑体" w:cs="黑体"/>
          <w:b/>
          <w:bCs/>
          <w:color w:val="auto"/>
          <w:sz w:val="32"/>
          <w:szCs w:val="32"/>
          <w:u w:val="none"/>
        </w:rPr>
        <w:t>第六章</w:t>
      </w:r>
      <w:r>
        <w:rPr>
          <w:rFonts w:ascii="黑体" w:hAnsi="黑体" w:eastAsia="黑体" w:cs="黑体"/>
          <w:b/>
          <w:bCs/>
          <w:color w:val="auto"/>
          <w:sz w:val="32"/>
          <w:szCs w:val="32"/>
          <w:u w:val="none"/>
        </w:rPr>
        <w:t xml:space="preserve"> </w:t>
      </w:r>
      <w:r>
        <w:rPr>
          <w:rFonts w:hint="eastAsia" w:ascii="黑体" w:hAnsi="黑体" w:eastAsia="黑体" w:cs="黑体"/>
          <w:b/>
          <w:bCs/>
          <w:color w:val="auto"/>
          <w:sz w:val="32"/>
          <w:szCs w:val="32"/>
          <w:u w:val="none"/>
        </w:rPr>
        <w:t>附则</w:t>
      </w:r>
    </w:p>
    <w:p>
      <w:pPr>
        <w:widowControl/>
        <w:spacing w:line="574" w:lineRule="exact"/>
        <w:ind w:right="25" w:rightChars="12" w:firstLine="640" w:firstLineChars="200"/>
        <w:rPr>
          <w:rFonts w:eastAsia="仿宋_GB2312"/>
          <w:color w:val="auto"/>
          <w:kern w:val="0"/>
          <w:sz w:val="32"/>
          <w:szCs w:val="28"/>
          <w:u w:val="none"/>
        </w:rPr>
      </w:pPr>
      <w:r>
        <w:rPr>
          <w:rFonts w:hint="eastAsia" w:ascii="黑体" w:hAnsi="黑体" w:eastAsia="黑体" w:cs="黑体"/>
          <w:color w:val="auto"/>
          <w:kern w:val="0"/>
          <w:sz w:val="32"/>
          <w:szCs w:val="28"/>
          <w:u w:val="none"/>
        </w:rPr>
        <w:t>第</w:t>
      </w:r>
      <w:r>
        <w:rPr>
          <w:rFonts w:hint="eastAsia" w:ascii="黑体" w:hAnsi="黑体" w:eastAsia="黑体" w:cs="黑体"/>
          <w:color w:val="auto"/>
          <w:kern w:val="0"/>
          <w:sz w:val="32"/>
          <w:szCs w:val="28"/>
          <w:u w:val="none"/>
          <w:lang w:eastAsia="zh-CN"/>
        </w:rPr>
        <w:t>三十</w:t>
      </w:r>
      <w:r>
        <w:rPr>
          <w:rFonts w:hint="eastAsia" w:ascii="黑体" w:hAnsi="黑体" w:eastAsia="黑体" w:cs="黑体"/>
          <w:color w:val="auto"/>
          <w:kern w:val="0"/>
          <w:sz w:val="32"/>
          <w:szCs w:val="28"/>
          <w:u w:val="none"/>
        </w:rPr>
        <w:t xml:space="preserve">条  </w:t>
      </w:r>
      <w:r>
        <w:rPr>
          <w:rFonts w:hint="eastAsia" w:ascii="仿宋" w:hAnsi="仿宋" w:eastAsia="仿宋_GB2312" w:cs="仿宋"/>
          <w:color w:val="auto"/>
          <w:kern w:val="0"/>
          <w:sz w:val="32"/>
          <w:szCs w:val="28"/>
          <w:u w:val="none"/>
        </w:rPr>
        <w:t>本办法由市科技局负责解释。</w:t>
      </w:r>
    </w:p>
    <w:p>
      <w:pPr>
        <w:widowControl/>
        <w:spacing w:line="574" w:lineRule="exact"/>
        <w:ind w:right="25" w:rightChars="12" w:firstLine="640" w:firstLineChars="200"/>
        <w:rPr>
          <w:rFonts w:ascii="仿宋" w:hAnsi="仿宋" w:eastAsia="仿宋_GB2312" w:cs="仿宋"/>
          <w:color w:val="auto"/>
          <w:kern w:val="0"/>
          <w:sz w:val="32"/>
          <w:szCs w:val="28"/>
          <w:u w:val="none"/>
        </w:rPr>
      </w:pPr>
      <w:r>
        <w:rPr>
          <w:rFonts w:hint="eastAsia" w:ascii="黑体" w:hAnsi="黑体" w:eastAsia="黑体" w:cs="黑体"/>
          <w:color w:val="auto"/>
          <w:kern w:val="0"/>
          <w:sz w:val="32"/>
          <w:szCs w:val="28"/>
          <w:u w:val="none"/>
        </w:rPr>
        <w:t>第三十</w:t>
      </w:r>
      <w:r>
        <w:rPr>
          <w:rFonts w:hint="eastAsia" w:ascii="黑体" w:hAnsi="黑体" w:eastAsia="黑体" w:cs="黑体"/>
          <w:color w:val="auto"/>
          <w:kern w:val="0"/>
          <w:sz w:val="32"/>
          <w:szCs w:val="28"/>
          <w:u w:val="none"/>
          <w:lang w:eastAsia="zh-CN"/>
        </w:rPr>
        <w:t>一</w:t>
      </w:r>
      <w:r>
        <w:rPr>
          <w:rFonts w:hint="eastAsia" w:ascii="黑体" w:hAnsi="黑体" w:eastAsia="黑体" w:cs="黑体"/>
          <w:color w:val="auto"/>
          <w:kern w:val="0"/>
          <w:sz w:val="32"/>
          <w:szCs w:val="28"/>
          <w:u w:val="none"/>
        </w:rPr>
        <w:t xml:space="preserve">条  </w:t>
      </w:r>
      <w:r>
        <w:rPr>
          <w:rFonts w:hint="eastAsia" w:ascii="仿宋" w:hAnsi="仿宋" w:eastAsia="仿宋_GB2312" w:cs="仿宋"/>
          <w:color w:val="auto"/>
          <w:kern w:val="0"/>
          <w:sz w:val="32"/>
          <w:szCs w:val="28"/>
          <w:u w:val="none"/>
        </w:rPr>
        <w:t>市科技局和合作银行应签订风险准备金项目协议，进一步明晰责任和义务，本办法若未明确的事项可在项目协议中约定。</w:t>
      </w:r>
    </w:p>
    <w:p>
      <w:pPr>
        <w:widowControl/>
        <w:spacing w:line="574" w:lineRule="exact"/>
        <w:ind w:right="25" w:rightChars="12" w:firstLine="640" w:firstLineChars="200"/>
        <w:rPr>
          <w:rFonts w:hint="eastAsia" w:ascii="仿宋" w:hAnsi="仿宋" w:eastAsia="仿宋_GB2312" w:cs="仿宋"/>
          <w:color w:val="auto"/>
          <w:kern w:val="0"/>
          <w:sz w:val="32"/>
          <w:szCs w:val="28"/>
          <w:u w:val="none"/>
        </w:rPr>
      </w:pPr>
      <w:r>
        <w:rPr>
          <w:rFonts w:hint="eastAsia" w:ascii="黑体" w:hAnsi="黑体" w:eastAsia="黑体" w:cs="黑体"/>
          <w:color w:val="auto"/>
          <w:kern w:val="0"/>
          <w:sz w:val="32"/>
          <w:szCs w:val="28"/>
          <w:u w:val="none"/>
        </w:rPr>
        <w:t>第三十</w:t>
      </w:r>
      <w:r>
        <w:rPr>
          <w:rFonts w:hint="eastAsia" w:ascii="黑体" w:hAnsi="黑体" w:eastAsia="黑体" w:cs="黑体"/>
          <w:color w:val="auto"/>
          <w:kern w:val="0"/>
          <w:sz w:val="32"/>
          <w:szCs w:val="28"/>
          <w:u w:val="none"/>
          <w:lang w:val="en-US" w:eastAsia="zh-CN"/>
        </w:rPr>
        <w:t>二</w:t>
      </w:r>
      <w:r>
        <w:rPr>
          <w:rFonts w:hint="eastAsia" w:ascii="黑体" w:hAnsi="黑体" w:eastAsia="黑体" w:cs="黑体"/>
          <w:color w:val="auto"/>
          <w:kern w:val="0"/>
          <w:sz w:val="32"/>
          <w:szCs w:val="28"/>
          <w:u w:val="none"/>
        </w:rPr>
        <w:t xml:space="preserve">条  </w:t>
      </w:r>
      <w:r>
        <w:rPr>
          <w:rFonts w:hint="eastAsia" w:ascii="仿宋" w:hAnsi="仿宋" w:eastAsia="仿宋_GB2312" w:cs="仿宋"/>
          <w:color w:val="auto"/>
          <w:kern w:val="0"/>
          <w:sz w:val="32"/>
          <w:szCs w:val="28"/>
          <w:u w:val="none"/>
        </w:rPr>
        <w:t>本办法自</w:t>
      </w:r>
      <w:r>
        <w:rPr>
          <w:rFonts w:hint="eastAsia" w:ascii="仿宋" w:hAnsi="仿宋" w:eastAsia="仿宋_GB2312" w:cs="仿宋"/>
          <w:color w:val="auto"/>
          <w:kern w:val="0"/>
          <w:sz w:val="32"/>
          <w:szCs w:val="28"/>
          <w:u w:val="none"/>
          <w:lang w:val="en-US" w:eastAsia="zh-CN"/>
        </w:rPr>
        <w:t>x</w:t>
      </w:r>
      <w:r>
        <w:rPr>
          <w:rFonts w:hint="eastAsia" w:ascii="仿宋" w:hAnsi="仿宋" w:eastAsia="仿宋_GB2312" w:cs="仿宋"/>
          <w:color w:val="auto"/>
          <w:kern w:val="0"/>
          <w:sz w:val="32"/>
          <w:szCs w:val="28"/>
          <w:u w:val="none"/>
        </w:rPr>
        <w:t>年</w:t>
      </w:r>
      <w:r>
        <w:rPr>
          <w:rFonts w:hint="eastAsia" w:ascii="仿宋" w:hAnsi="仿宋" w:eastAsia="仿宋_GB2312" w:cs="仿宋"/>
          <w:color w:val="auto"/>
          <w:kern w:val="0"/>
          <w:sz w:val="32"/>
          <w:szCs w:val="28"/>
          <w:u w:val="none"/>
          <w:lang w:val="en-US" w:eastAsia="zh-CN"/>
        </w:rPr>
        <w:t>x</w:t>
      </w:r>
      <w:r>
        <w:rPr>
          <w:rFonts w:hint="eastAsia" w:ascii="仿宋" w:hAnsi="仿宋" w:eastAsia="仿宋_GB2312" w:cs="仿宋"/>
          <w:color w:val="auto"/>
          <w:kern w:val="0"/>
          <w:sz w:val="32"/>
          <w:szCs w:val="28"/>
          <w:u w:val="none"/>
        </w:rPr>
        <w:t>月</w:t>
      </w:r>
      <w:r>
        <w:rPr>
          <w:rFonts w:hint="eastAsia" w:ascii="仿宋" w:hAnsi="仿宋" w:eastAsia="仿宋_GB2312" w:cs="仿宋"/>
          <w:color w:val="auto"/>
          <w:kern w:val="0"/>
          <w:sz w:val="32"/>
          <w:szCs w:val="28"/>
          <w:u w:val="none"/>
          <w:lang w:val="en-US" w:eastAsia="zh-CN"/>
        </w:rPr>
        <w:t>x</w:t>
      </w:r>
      <w:r>
        <w:rPr>
          <w:rFonts w:hint="eastAsia" w:ascii="仿宋" w:hAnsi="仿宋" w:eastAsia="仿宋_GB2312" w:cs="仿宋"/>
          <w:color w:val="auto"/>
          <w:kern w:val="0"/>
          <w:sz w:val="32"/>
          <w:szCs w:val="28"/>
          <w:u w:val="none"/>
        </w:rPr>
        <w:t>日起施行，有效期五年。</w:t>
      </w:r>
    </w:p>
    <w:p>
      <w:pPr>
        <w:ind w:firstLine="640" w:firstLineChars="200"/>
        <w:rPr>
          <w:rFonts w:hint="eastAsia"/>
          <w:u w:val="none"/>
          <w:lang w:val="en-US" w:eastAsia="zh-CN"/>
        </w:rPr>
      </w:pPr>
      <w:r>
        <w:rPr>
          <w:rFonts w:hint="eastAsia" w:ascii="黑体" w:hAnsi="黑体" w:eastAsia="黑体" w:cs="黑体"/>
          <w:color w:val="auto"/>
          <w:kern w:val="0"/>
          <w:sz w:val="32"/>
          <w:szCs w:val="28"/>
          <w:u w:val="none"/>
        </w:rPr>
        <w:t>第三十</w:t>
      </w:r>
      <w:r>
        <w:rPr>
          <w:rFonts w:hint="eastAsia" w:ascii="黑体" w:hAnsi="黑体" w:eastAsia="黑体" w:cs="黑体"/>
          <w:color w:val="auto"/>
          <w:kern w:val="0"/>
          <w:sz w:val="32"/>
          <w:szCs w:val="28"/>
          <w:u w:val="none"/>
          <w:lang w:val="en-US" w:eastAsia="zh-CN"/>
        </w:rPr>
        <w:t>三</w:t>
      </w:r>
      <w:r>
        <w:rPr>
          <w:rFonts w:hint="eastAsia" w:ascii="黑体" w:hAnsi="黑体" w:eastAsia="黑体" w:cs="黑体"/>
          <w:color w:val="auto"/>
          <w:kern w:val="0"/>
          <w:sz w:val="32"/>
          <w:szCs w:val="28"/>
          <w:u w:val="none"/>
        </w:rPr>
        <w:t xml:space="preserve">条  </w:t>
      </w:r>
      <w:r>
        <w:rPr>
          <w:rFonts w:hint="eastAsia" w:ascii="仿宋" w:hAnsi="仿宋" w:eastAsia="仿宋_GB2312" w:cs="仿宋"/>
          <w:color w:val="auto"/>
          <w:kern w:val="0"/>
          <w:sz w:val="32"/>
          <w:szCs w:val="28"/>
          <w:u w:val="none"/>
        </w:rPr>
        <w:t>全市各镇区与市科技局联合设立风险准备金的，参照本管理办法执行，具体事项由市科技局与各镇区协商确定。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2141E"/>
    <w:rsid w:val="00BD2892"/>
    <w:rsid w:val="03B929A1"/>
    <w:rsid w:val="06201DA5"/>
    <w:rsid w:val="07994DAE"/>
    <w:rsid w:val="09B2269A"/>
    <w:rsid w:val="0D233B84"/>
    <w:rsid w:val="0DE05308"/>
    <w:rsid w:val="0EAC347E"/>
    <w:rsid w:val="10710E52"/>
    <w:rsid w:val="140B48A5"/>
    <w:rsid w:val="1973687D"/>
    <w:rsid w:val="19CA3F8B"/>
    <w:rsid w:val="1AFC3621"/>
    <w:rsid w:val="1C2721A5"/>
    <w:rsid w:val="1C33474E"/>
    <w:rsid w:val="1D050C45"/>
    <w:rsid w:val="1E2778B2"/>
    <w:rsid w:val="1E6A4417"/>
    <w:rsid w:val="289138AA"/>
    <w:rsid w:val="2A6B1026"/>
    <w:rsid w:val="2CC8357F"/>
    <w:rsid w:val="2FC36BE8"/>
    <w:rsid w:val="37F53E35"/>
    <w:rsid w:val="3B1604E2"/>
    <w:rsid w:val="3E8E46C0"/>
    <w:rsid w:val="40054DFE"/>
    <w:rsid w:val="46B2141E"/>
    <w:rsid w:val="47713383"/>
    <w:rsid w:val="489402A9"/>
    <w:rsid w:val="4C351062"/>
    <w:rsid w:val="4E2E5B00"/>
    <w:rsid w:val="528469F2"/>
    <w:rsid w:val="5740290F"/>
    <w:rsid w:val="67BA6A7F"/>
    <w:rsid w:val="68E6481E"/>
    <w:rsid w:val="6B756BF0"/>
    <w:rsid w:val="6E2B5E0D"/>
    <w:rsid w:val="6F592B1B"/>
    <w:rsid w:val="70515819"/>
    <w:rsid w:val="72B5233E"/>
    <w:rsid w:val="738B2121"/>
    <w:rsid w:val="777D5B73"/>
    <w:rsid w:val="79CE7CB5"/>
    <w:rsid w:val="7A4060E7"/>
    <w:rsid w:val="7B3F3829"/>
    <w:rsid w:val="7BE92F89"/>
    <w:rsid w:val="7D26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中山市科学技术局</Company>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2021-06-25T03:37:00Z</dcterms:created>
  <dc:creator>梦诗</dc:creator>
  <cp:lastModifiedBy>梦诗</cp:lastModifiedBy>
  <dcterms:modified xsi:type="dcterms:W3CDTF">2021-06-29T08:40:07Z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